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D1265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36"/>
        </w:rPr>
        <w:t>公共场所上网实名认证与日志审计技术方案</w:t>
      </w:r>
    </w:p>
    <w:p w14:paraId="28F6ADFB">
      <w:pPr>
        <w:spacing w:after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1"/>
        </w:rPr>
        <w:t>适用范围：具备独立局域网的公共场所</w:t>
      </w:r>
    </w:p>
    <w:p w14:paraId="2D033856">
      <w:pPr>
        <w:spacing w:after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1"/>
        </w:rPr>
        <w:t>方案边界：本方案不包含运营商三网合一光纤入户场景</w:t>
      </w:r>
    </w:p>
    <w:p w14:paraId="3ED2C2E9">
      <w:pPr>
        <w:rPr>
          <w:rFonts w:hint="eastAsia" w:ascii="微软雅黑" w:hAnsi="微软雅黑" w:eastAsia="微软雅黑" w:cs="微软雅黑"/>
        </w:rPr>
      </w:pPr>
    </w:p>
    <w:p w14:paraId="61E398AB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一、项目背景</w:t>
      </w:r>
    </w:p>
    <w:p w14:paraId="7DECF8C7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1.1 当前公共场所上网管理存在的问题</w:t>
      </w:r>
    </w:p>
    <w:p w14:paraId="21634225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公共场所网络使用主体复杂、流动性强，且不同场景的接入方式和管理要求差异较大。</w:t>
      </w:r>
    </w:p>
    <w:p w14:paraId="2809B27F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当前常见问题主要集中在以下几个方面：</w:t>
      </w:r>
    </w:p>
    <w:p w14:paraId="616EA87D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身份不可控：部分场所仍存在匿名接入、共用账号接入或只做形式登记的情况，无法将上网行为准确对应到具体人员。</w:t>
      </w:r>
    </w:p>
    <w:p w14:paraId="48FCE7C1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日志留存不足：日志保存周期不达标，或日志字段不完整，导致后续追溯时证据链不完整。</w:t>
      </w:r>
    </w:p>
    <w:p w14:paraId="5B7649AD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审计能力分散：各场所各自建设、各自存储，查询效率低，合规状态不统一。</w:t>
      </w:r>
    </w:p>
    <w:p w14:paraId="5AE81284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运维成本高：如果每个场所单独建设日志平台和认证系统，硬件、存储和运维成本都会明显上升。</w:t>
      </w:r>
    </w:p>
    <w:p w14:paraId="6B66A4D9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改造顾虑大：很多单位担心新系统上线会影响原有网络、原有无线设备和日常经营。</w:t>
      </w:r>
    </w:p>
    <w:p w14:paraId="328D0BCC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1.2 合规目标</w:t>
      </w:r>
    </w:p>
    <w:p w14:paraId="720C3B83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本方案面向公共场所上网管理场景，核心目标不是简单“能上网”，而是同时满足实名认证、日志留存、行为可追溯和集中管控。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257"/>
      </w:tblGrid>
      <w:tr w14:paraId="5006A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</w:tcPr>
          <w:p w14:paraId="7C5A770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合规维度</w:t>
            </w:r>
          </w:p>
        </w:tc>
        <w:tc>
          <w:tcPr>
            <w:tcW w:w="7257" w:type="dxa"/>
          </w:tcPr>
          <w:p w14:paraId="61DD6494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目标要求</w:t>
            </w:r>
          </w:p>
        </w:tc>
      </w:tr>
      <w:tr w14:paraId="46436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vAlign w:val="center"/>
          </w:tcPr>
          <w:p w14:paraId="09081EB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实名认证</w:t>
            </w:r>
          </w:p>
        </w:tc>
        <w:tc>
          <w:tcPr>
            <w:tcW w:w="7257" w:type="dxa"/>
            <w:vAlign w:val="center"/>
          </w:tcPr>
          <w:p w14:paraId="7AD1D9C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对上网用户进行真实身份核验，避免匿名接入。</w:t>
            </w:r>
          </w:p>
        </w:tc>
      </w:tr>
      <w:tr w14:paraId="6C1D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vAlign w:val="center"/>
          </w:tcPr>
          <w:p w14:paraId="014F841E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日志留存</w:t>
            </w:r>
          </w:p>
        </w:tc>
        <w:tc>
          <w:tcPr>
            <w:tcW w:w="7257" w:type="dxa"/>
            <w:vAlign w:val="center"/>
          </w:tcPr>
          <w:p w14:paraId="0A52A7DD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 xml:space="preserve">日志留存不少于 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</w:rPr>
              <w:t xml:space="preserve"> 个月，并支持按要求延长到 180 天或更长周期。</w:t>
            </w:r>
          </w:p>
        </w:tc>
      </w:tr>
      <w:tr w14:paraId="0EA8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vAlign w:val="center"/>
          </w:tcPr>
          <w:p w14:paraId="6595111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可追溯</w:t>
            </w:r>
          </w:p>
        </w:tc>
        <w:tc>
          <w:tcPr>
            <w:tcW w:w="7257" w:type="dxa"/>
            <w:vAlign w:val="center"/>
          </w:tcPr>
          <w:p w14:paraId="300108C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支持按身份、时间、IP、MAC、访问记录等条件查询和导出。</w:t>
            </w:r>
          </w:p>
        </w:tc>
      </w:tr>
      <w:tr w14:paraId="49591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vAlign w:val="center"/>
          </w:tcPr>
          <w:p w14:paraId="61535EF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集中管理</w:t>
            </w:r>
          </w:p>
        </w:tc>
        <w:tc>
          <w:tcPr>
            <w:tcW w:w="7257" w:type="dxa"/>
            <w:vAlign w:val="center"/>
          </w:tcPr>
          <w:p w14:paraId="3DCEF769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多场所统一认证、统一日志归集、统一审计策略。</w:t>
            </w:r>
          </w:p>
        </w:tc>
      </w:tr>
    </w:tbl>
    <w:p w14:paraId="43AC6B8E">
      <w:pPr>
        <w:rPr>
          <w:rFonts w:hint="eastAsia" w:ascii="微软雅黑" w:hAnsi="微软雅黑" w:eastAsia="微软雅黑" w:cs="微软雅黑"/>
        </w:rPr>
      </w:pPr>
    </w:p>
    <w:p w14:paraId="62BD25C3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1.3 适用场景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7030"/>
      </w:tblGrid>
      <w:tr w14:paraId="185F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046A623B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场景类型</w:t>
            </w:r>
          </w:p>
        </w:tc>
        <w:tc>
          <w:tcPr>
            <w:tcW w:w="7030" w:type="dxa"/>
          </w:tcPr>
          <w:p w14:paraId="536E6D21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适用说明</w:t>
            </w:r>
          </w:p>
        </w:tc>
      </w:tr>
      <w:tr w14:paraId="666BE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  <w:vAlign w:val="center"/>
          </w:tcPr>
          <w:p w14:paraId="1048917B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酒店/宾馆</w:t>
            </w:r>
          </w:p>
        </w:tc>
        <w:tc>
          <w:tcPr>
            <w:tcW w:w="7030" w:type="dxa"/>
            <w:vAlign w:val="center"/>
          </w:tcPr>
          <w:p w14:paraId="75AE77F6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住客与访客流动频繁，需重点解决实名接入、日志留存和公安审计。</w:t>
            </w:r>
          </w:p>
        </w:tc>
      </w:tr>
      <w:tr w14:paraId="6D022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  <w:vAlign w:val="center"/>
          </w:tcPr>
          <w:p w14:paraId="27ABB2FE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公寓/宿舍</w:t>
            </w:r>
          </w:p>
        </w:tc>
        <w:tc>
          <w:tcPr>
            <w:tcW w:w="7030" w:type="dxa"/>
            <w:vAlign w:val="center"/>
          </w:tcPr>
          <w:p w14:paraId="6A590CED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终端数量多、在线时间长，适合统一认证与长期日志留存。</w:t>
            </w:r>
          </w:p>
        </w:tc>
      </w:tr>
      <w:tr w14:paraId="7133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  <w:vAlign w:val="center"/>
          </w:tcPr>
          <w:p w14:paraId="6EA81D9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园区/展馆/景区</w:t>
            </w:r>
          </w:p>
        </w:tc>
        <w:tc>
          <w:tcPr>
            <w:tcW w:w="7030" w:type="dxa"/>
            <w:vAlign w:val="center"/>
          </w:tcPr>
          <w:p w14:paraId="0B929F5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访客高峰明显，适合短信、微信和 Portal 引导式认证。</w:t>
            </w:r>
          </w:p>
        </w:tc>
      </w:tr>
      <w:tr w14:paraId="291F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  <w:vAlign w:val="center"/>
          </w:tcPr>
          <w:p w14:paraId="1F12FCF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医院/政务大厅/培训场所</w:t>
            </w:r>
          </w:p>
        </w:tc>
        <w:tc>
          <w:tcPr>
            <w:tcW w:w="7030" w:type="dxa"/>
            <w:vAlign w:val="center"/>
          </w:tcPr>
          <w:p w14:paraId="693F09D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需兼顾公共访问与内部人员接入的分级管理。</w:t>
            </w:r>
          </w:p>
        </w:tc>
      </w:tr>
    </w:tbl>
    <w:p w14:paraId="0371442E">
      <w:pPr>
        <w:rPr>
          <w:rFonts w:hint="eastAsia" w:ascii="微软雅黑" w:hAnsi="微软雅黑" w:eastAsia="微软雅黑" w:cs="微软雅黑"/>
        </w:rPr>
      </w:pPr>
    </w:p>
    <w:p w14:paraId="624718EF">
      <w:pPr>
        <w:spacing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说明：</w:t>
      </w:r>
      <w:r>
        <w:rPr>
          <w:rFonts w:hint="eastAsia" w:ascii="微软雅黑" w:hAnsi="微软雅黑" w:eastAsia="微软雅黑" w:cs="微软雅黑"/>
        </w:rPr>
        <w:t>本方案只针对具备独立局域网的公共场所场景。对于运营商三网合一光纤入户、网络控制权不在场地方手中的模式，不在本次方案范围内。</w:t>
      </w:r>
    </w:p>
    <w:p w14:paraId="6903BE8A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二、总体解决方案</w:t>
      </w:r>
    </w:p>
    <w:p w14:paraId="285B6089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2.1 架构思路</w:t>
      </w:r>
    </w:p>
    <w:p w14:paraId="725C08D1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本方案采用“统一认证管理平台 + 分布式认证网关 + 集中日志审计”的架构。总体上实现认证集中管理、接入分布控制、日志统一审计。</w:t>
      </w:r>
    </w:p>
    <w:p w14:paraId="13FCB6E2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统一认证管理平台：部署在云端或</w:t>
      </w:r>
      <w:r>
        <w:rPr>
          <w:rFonts w:hint="eastAsia" w:ascii="微软雅黑" w:hAnsi="微软雅黑" w:eastAsia="微软雅黑" w:cs="微软雅黑"/>
          <w:lang w:val="en-US" w:eastAsia="zh-CN"/>
        </w:rPr>
        <w:t>自建</w:t>
      </w:r>
      <w:r>
        <w:rPr>
          <w:rFonts w:hint="eastAsia" w:ascii="微软雅黑" w:hAnsi="微软雅黑" w:eastAsia="微软雅黑" w:cs="微软雅黑"/>
        </w:rPr>
        <w:t>机房，负责认证策略、用户管理、Portal 页面管理和多场所统一控制。</w:t>
      </w:r>
    </w:p>
    <w:p w14:paraId="6CB3217D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分布式认证网关：每个公共场所部署一台认证网关，作为本地接入认证和日志采集节点。</w:t>
      </w:r>
    </w:p>
    <w:p w14:paraId="72E2762D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集中日志服务器或云侧上报：所有场所的日志统一存储在</w:t>
      </w:r>
      <w:r>
        <w:rPr>
          <w:rFonts w:hint="eastAsia" w:ascii="微软雅黑" w:hAnsi="微软雅黑" w:eastAsia="微软雅黑" w:cs="微软雅黑"/>
          <w:lang w:val="en-US" w:eastAsia="zh-CN"/>
        </w:rPr>
        <w:t>云端</w:t>
      </w:r>
      <w:r>
        <w:rPr>
          <w:rFonts w:hint="eastAsia" w:ascii="微软雅黑" w:hAnsi="微软雅黑" w:eastAsia="微软雅黑" w:cs="微软雅黑"/>
        </w:rPr>
        <w:t>日志服务器，或经云平台按标准格式向省网监平台上报。</w:t>
      </w:r>
    </w:p>
    <w:p w14:paraId="1E22E9BD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2.2 总体架构说明</w:t>
      </w:r>
    </w:p>
    <w:p w14:paraId="021FE282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部署后，每个场所保持本地网络独立运行，但认证策略和审计要求由统一平台集中下发。认证网关负责本地上网认证、记录认证日志、采集上网行为日志，并将日志上传至集中日志服务器或云平台。</w:t>
      </w:r>
    </w:p>
    <w:p w14:paraId="29BFACB1">
      <w:pPr>
        <w:spacing w:after="120" w:line="360" w:lineRule="auto"/>
        <w:rPr>
          <w:rFonts w:hint="eastAsia" w:ascii="微软雅黑" w:hAnsi="微软雅黑" w:eastAsia="微软雅黑" w:cs="微软雅黑"/>
        </w:rPr>
      </w:pPr>
    </w:p>
    <w:p w14:paraId="7E4D63FF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三、系统部署方案</w:t>
      </w:r>
    </w:p>
    <w:p w14:paraId="34C6F202">
      <w:pPr>
        <w:pStyle w:val="4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3.1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lang w:val="en-US" w:eastAsia="zh-CN"/>
        </w:rPr>
        <w:t>拓扑图</w:t>
      </w:r>
    </w:p>
    <w:p w14:paraId="3B856C5D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object>
          <v:shape id="_x0000_i1025" o:spt="75" type="#_x0000_t75" style="height:308.4pt;width:452.7pt;" o:ole="t" filled="f" o:preferrelative="t" stroked="t" coordsize="21600,21600">
            <v:path/>
            <v:fill on="f" focussize="0,0"/>
            <v:stroke color="#F2F2F2"/>
            <v:imagedata r:id="rId7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6">
            <o:LockedField>false</o:LockedField>
          </o:OLEObject>
        </w:object>
      </w:r>
    </w:p>
    <w:p w14:paraId="2DDA2A96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</w:t>
      </w:r>
      <w:r>
        <w:rPr>
          <w:rFonts w:hint="eastAsia" w:ascii="微软雅黑" w:hAnsi="微软雅黑" w:eastAsia="微软雅黑" w:cs="微软雅黑"/>
          <w:lang w:val="en-US" w:eastAsia="zh-CN"/>
        </w:rPr>
        <w:t>2</w:t>
      </w:r>
      <w:r>
        <w:rPr>
          <w:rFonts w:hint="eastAsia" w:ascii="微软雅黑" w:hAnsi="微软雅黑" w:eastAsia="微软雅黑" w:cs="微软雅黑"/>
        </w:rPr>
        <w:t xml:space="preserve"> 每场所部署认证网关</w:t>
      </w:r>
    </w:p>
    <w:p w14:paraId="7B49614C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每个公共场所在本地部署一台认证网关，作为该场所的认证入口和日志采集节点。认证网关不要求替换原有 AP、交换机或出口设备，重点是增加认证与审计能力，而不是推翻原网络。</w:t>
      </w:r>
    </w:p>
    <w:p w14:paraId="14B597CB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</w:t>
      </w:r>
      <w:r>
        <w:rPr>
          <w:rFonts w:hint="eastAsia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</w:rPr>
        <w:t>部署原则</w:t>
      </w:r>
    </w:p>
    <w:p w14:paraId="25E88EAF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采用</w:t>
      </w:r>
      <w:r>
        <w:rPr>
          <w:rFonts w:hint="eastAsia" w:ascii="微软雅黑" w:hAnsi="微软雅黑" w:eastAsia="微软雅黑" w:cs="微软雅黑"/>
          <w:lang w:val="en-US" w:eastAsia="zh-CN"/>
        </w:rPr>
        <w:t>桥接</w:t>
      </w:r>
      <w:r>
        <w:rPr>
          <w:rFonts w:hint="eastAsia" w:ascii="微软雅黑" w:hAnsi="微软雅黑" w:eastAsia="微软雅黑" w:cs="微软雅黑"/>
        </w:rPr>
        <w:t>部署或</w:t>
      </w:r>
      <w:r>
        <w:rPr>
          <w:rFonts w:hint="eastAsia" w:ascii="微软雅黑" w:hAnsi="微软雅黑" w:eastAsia="微软雅黑" w:cs="微软雅黑"/>
          <w:lang w:val="en-US" w:eastAsia="zh-CN"/>
        </w:rPr>
        <w:t>网关</w:t>
      </w:r>
      <w:r>
        <w:rPr>
          <w:rFonts w:hint="eastAsia" w:ascii="微软雅黑" w:hAnsi="微软雅黑" w:eastAsia="微软雅黑" w:cs="微软雅黑"/>
        </w:rPr>
        <w:t>方式接入。</w:t>
      </w:r>
    </w:p>
    <w:p w14:paraId="2B49E8F2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对现有 IP 规划、路由和无线覆盖原则上不做大改。</w:t>
      </w:r>
    </w:p>
    <w:p w14:paraId="62F44DCA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认证网关应具备旁路放行或应急处理机制，避免</w:t>
      </w:r>
      <w:r>
        <w:rPr>
          <w:rFonts w:hint="eastAsia" w:ascii="微软雅黑" w:hAnsi="微软雅黑" w:eastAsia="微软雅黑" w:cs="微软雅黑"/>
          <w:lang w:val="en-US" w:eastAsia="zh-CN"/>
        </w:rPr>
        <w:t>因平台故障</w:t>
      </w:r>
      <w:r>
        <w:rPr>
          <w:rFonts w:hint="eastAsia" w:ascii="微软雅黑" w:hAnsi="微软雅黑" w:eastAsia="微软雅黑" w:cs="微软雅黑"/>
        </w:rPr>
        <w:t>影响现场正常用网。</w:t>
      </w:r>
    </w:p>
    <w:p w14:paraId="20536819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</w:t>
      </w:r>
      <w:r>
        <w:rPr>
          <w:rFonts w:hint="eastAsia" w:ascii="微软雅黑" w:hAnsi="微软雅黑" w:eastAsia="微软雅黑" w:cs="微软雅黑"/>
          <w:lang w:val="en-US" w:eastAsia="zh-CN"/>
        </w:rPr>
        <w:t>4</w:t>
      </w:r>
      <w:r>
        <w:rPr>
          <w:rFonts w:hint="eastAsia" w:ascii="微软雅黑" w:hAnsi="微软雅黑" w:eastAsia="微软雅黑" w:cs="微软雅黑"/>
        </w:rPr>
        <w:t>与现有设备的兼容方式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268"/>
        <w:gridCol w:w="4876"/>
      </w:tblGrid>
      <w:tr w14:paraId="3323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</w:tcPr>
          <w:p w14:paraId="417EFA34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现有设备类型</w:t>
            </w:r>
          </w:p>
        </w:tc>
        <w:tc>
          <w:tcPr>
            <w:tcW w:w="2268" w:type="dxa"/>
          </w:tcPr>
          <w:p w14:paraId="1050395A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对接方式</w:t>
            </w:r>
          </w:p>
        </w:tc>
        <w:tc>
          <w:tcPr>
            <w:tcW w:w="4876" w:type="dxa"/>
          </w:tcPr>
          <w:p w14:paraId="049F603D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说明</w:t>
            </w:r>
          </w:p>
        </w:tc>
      </w:tr>
      <w:tr w14:paraId="687E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39BA230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出口网关/路由器</w:t>
            </w:r>
          </w:p>
        </w:tc>
        <w:tc>
          <w:tcPr>
            <w:tcW w:w="2268" w:type="dxa"/>
            <w:vAlign w:val="center"/>
          </w:tcPr>
          <w:p w14:paraId="5110CD0E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网桥串联 / 路由协同</w:t>
            </w:r>
          </w:p>
        </w:tc>
        <w:tc>
          <w:tcPr>
            <w:tcW w:w="4876" w:type="dxa"/>
            <w:vAlign w:val="center"/>
          </w:tcPr>
          <w:p w14:paraId="19BA8D4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在不破坏原网结构前提下接入认证能力。</w:t>
            </w:r>
          </w:p>
        </w:tc>
      </w:tr>
      <w:tr w14:paraId="2EA0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25EF7FB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核心交换机</w:t>
            </w:r>
          </w:p>
        </w:tc>
        <w:tc>
          <w:tcPr>
            <w:tcW w:w="2268" w:type="dxa"/>
            <w:vAlign w:val="center"/>
          </w:tcPr>
          <w:p w14:paraId="27AC4CFB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VLAN 透传 / 镜像 / 策略联动</w:t>
            </w:r>
          </w:p>
        </w:tc>
        <w:tc>
          <w:tcPr>
            <w:tcW w:w="4876" w:type="dxa"/>
            <w:vAlign w:val="center"/>
          </w:tcPr>
          <w:p w14:paraId="2E356DE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满足流量采集和策略下发需要。</w:t>
            </w:r>
          </w:p>
        </w:tc>
      </w:tr>
    </w:tbl>
    <w:p w14:paraId="22C456DF">
      <w:pPr>
        <w:spacing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具体对接方式应以现网结构为准，原则是优先兼容现有设备，减少割接风险和停机时间。</w:t>
      </w:r>
    </w:p>
    <w:p w14:paraId="4B78AC6A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四、认证与接入方式</w:t>
      </w:r>
    </w:p>
    <w:p w14:paraId="52EB768D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4.1 多种认证方式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989"/>
        <w:gridCol w:w="2154"/>
      </w:tblGrid>
      <w:tr w14:paraId="7EA36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3960B23E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认证方式</w:t>
            </w:r>
          </w:p>
        </w:tc>
        <w:tc>
          <w:tcPr>
            <w:tcW w:w="4989" w:type="dxa"/>
          </w:tcPr>
          <w:p w14:paraId="7EADE8C5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说明</w:t>
            </w:r>
          </w:p>
        </w:tc>
        <w:tc>
          <w:tcPr>
            <w:tcW w:w="2154" w:type="dxa"/>
          </w:tcPr>
          <w:p w14:paraId="6C13B3E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适用对象</w:t>
            </w:r>
          </w:p>
        </w:tc>
      </w:tr>
      <w:tr w14:paraId="66C7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0BED435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短信实名认证</w:t>
            </w:r>
          </w:p>
        </w:tc>
        <w:tc>
          <w:tcPr>
            <w:tcW w:w="4989" w:type="dxa"/>
            <w:vAlign w:val="center"/>
          </w:tcPr>
          <w:p w14:paraId="1903950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用户接入网络后通过 Portal 页面填写手机号并完成验证码校验，满足实名留痕要求。</w:t>
            </w:r>
          </w:p>
        </w:tc>
        <w:tc>
          <w:tcPr>
            <w:tcW w:w="2154" w:type="dxa"/>
            <w:vAlign w:val="center"/>
          </w:tcPr>
          <w:p w14:paraId="0528F2B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住客、访客、临时用户</w:t>
            </w:r>
          </w:p>
        </w:tc>
      </w:tr>
      <w:tr w14:paraId="72B90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8B5A8FA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微信认证</w:t>
            </w:r>
          </w:p>
        </w:tc>
        <w:tc>
          <w:tcPr>
            <w:tcW w:w="4989" w:type="dxa"/>
            <w:vAlign w:val="center"/>
          </w:tcPr>
          <w:p w14:paraId="437E457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用户通过微信授权完成接入，可结合实名信息校验使用。</w:t>
            </w:r>
          </w:p>
        </w:tc>
        <w:tc>
          <w:tcPr>
            <w:tcW w:w="2154" w:type="dxa"/>
            <w:vAlign w:val="center"/>
          </w:tcPr>
          <w:p w14:paraId="79BDAF53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移动端用户较多场景</w:t>
            </w:r>
          </w:p>
        </w:tc>
      </w:tr>
      <w:tr w14:paraId="5516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65D1900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内部员工认证</w:t>
            </w:r>
          </w:p>
        </w:tc>
        <w:tc>
          <w:tcPr>
            <w:tcW w:w="4989" w:type="dxa"/>
            <w:vAlign w:val="center"/>
          </w:tcPr>
          <w:p w14:paraId="20632E4E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采用账号密码或内部身份体系认证，适用于固定人员。</w:t>
            </w:r>
          </w:p>
        </w:tc>
        <w:tc>
          <w:tcPr>
            <w:tcW w:w="2154" w:type="dxa"/>
            <w:vAlign w:val="center"/>
          </w:tcPr>
          <w:p w14:paraId="010014A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员工、运维、管理人员</w:t>
            </w:r>
          </w:p>
        </w:tc>
      </w:tr>
      <w:tr w14:paraId="22A8F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vAlign w:val="center"/>
          </w:tcPr>
          <w:p w14:paraId="74881D07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白名单放行</w:t>
            </w:r>
          </w:p>
        </w:tc>
        <w:tc>
          <w:tcPr>
            <w:tcW w:w="4989" w:type="dxa"/>
            <w:vAlign w:val="center"/>
          </w:tcPr>
          <w:p w14:paraId="65081DB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对办公设备、哑终端、特定业务设备配置白名单，免重复认证。</w:t>
            </w:r>
          </w:p>
        </w:tc>
        <w:tc>
          <w:tcPr>
            <w:tcW w:w="2154" w:type="dxa"/>
            <w:vAlign w:val="center"/>
          </w:tcPr>
          <w:p w14:paraId="09F27E9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办公终端、机顶盒、专用设备</w:t>
            </w:r>
          </w:p>
        </w:tc>
      </w:tr>
    </w:tbl>
    <w:p w14:paraId="38C99668">
      <w:pPr>
        <w:rPr>
          <w:rFonts w:hint="eastAsia" w:ascii="微软雅黑" w:hAnsi="微软雅黑" w:eastAsia="微软雅黑" w:cs="微软雅黑"/>
        </w:rPr>
      </w:pPr>
    </w:p>
    <w:p w14:paraId="7998DF18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4.2 Portal 页面自定义</w:t>
      </w:r>
    </w:p>
    <w:p w14:paraId="3264CAAE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支持自定义 Portal 页面样式、Logo、提示文案和跳转页面。</w:t>
      </w:r>
    </w:p>
    <w:p w14:paraId="31C2C9F5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 PC 端与移动端自适应展示。</w:t>
      </w:r>
    </w:p>
    <w:p w14:paraId="13FEFB5B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支持不同场所、不同位置、不同用户类型推送差异化页面。</w:t>
      </w:r>
    </w:p>
    <w:p w14:paraId="74332127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4.3 行业场景扩展</w:t>
      </w:r>
    </w:p>
    <w:p w14:paraId="40A618C4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在统一方案框架下，可按行业差异进行扩展。</w:t>
      </w:r>
    </w:p>
    <w:p w14:paraId="6D890E38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例如酒店可对接 PMS 或住客管理流程；园区、医院、公寓等场景则可结合访客管理、内部人员管理或房间/区域权限控制做差异化配置。</w:t>
      </w:r>
    </w:p>
    <w:p w14:paraId="496A8F75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五、日志审计方案</w:t>
      </w:r>
    </w:p>
    <w:p w14:paraId="576DFC08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5.1 日志采集路径</w:t>
      </w:r>
    </w:p>
    <w:p w14:paraId="698380F7">
      <w:pPr>
        <w:spacing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终端用户的认证行为和上网行为，先由各场所认证网关完成采集，再统一上传至</w:t>
      </w:r>
      <w:r>
        <w:rPr>
          <w:rFonts w:hint="eastAsia" w:ascii="微软雅黑" w:hAnsi="微软雅黑" w:eastAsia="微软雅黑" w:cs="微软雅黑"/>
          <w:lang w:val="en-US" w:eastAsia="zh-CN"/>
        </w:rPr>
        <w:t>云端</w:t>
      </w:r>
      <w:r>
        <w:rPr>
          <w:rFonts w:hint="eastAsia" w:ascii="微软雅黑" w:hAnsi="微软雅黑" w:eastAsia="微软雅黑" w:cs="微软雅黑"/>
        </w:rPr>
        <w:t>日志服务器进行集中存储、检索。</w:t>
      </w:r>
    </w:p>
    <w:p w14:paraId="6CEB8D7E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5.2 日志内容范围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6787"/>
      </w:tblGrid>
      <w:tr w14:paraId="28F0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</w:tcPr>
          <w:p w14:paraId="23DD009C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日志类别</w:t>
            </w:r>
          </w:p>
        </w:tc>
        <w:tc>
          <w:tcPr>
            <w:tcW w:w="6787" w:type="dxa"/>
          </w:tcPr>
          <w:p w14:paraId="0E97A39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主要内容</w:t>
            </w:r>
          </w:p>
        </w:tc>
      </w:tr>
      <w:tr w14:paraId="5A0C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  <w:vAlign w:val="center"/>
          </w:tcPr>
          <w:p w14:paraId="18D9FDF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认证日志</w:t>
            </w:r>
          </w:p>
        </w:tc>
        <w:tc>
          <w:tcPr>
            <w:tcW w:w="6787" w:type="dxa"/>
            <w:vAlign w:val="center"/>
          </w:tcPr>
          <w:p w14:paraId="1C56892F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手机号/账号、认证时间、认证方式、MAC 地址、分配 IP、上线/下线时间。</w:t>
            </w:r>
          </w:p>
        </w:tc>
      </w:tr>
      <w:tr w14:paraId="3ACC2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  <w:vAlign w:val="center"/>
          </w:tcPr>
          <w:p w14:paraId="2F99B7A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行为日志</w:t>
            </w:r>
          </w:p>
        </w:tc>
        <w:tc>
          <w:tcPr>
            <w:tcW w:w="6787" w:type="dxa"/>
            <w:vAlign w:val="center"/>
          </w:tcPr>
          <w:p w14:paraId="4DE5F8D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访问记录、应用类型、DNS 解析等审计相关信息。</w:t>
            </w:r>
          </w:p>
        </w:tc>
      </w:tr>
      <w:tr w14:paraId="4875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  <w:vAlign w:val="center"/>
          </w:tcPr>
          <w:p w14:paraId="317B80B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NAT/地址映射日志</w:t>
            </w:r>
          </w:p>
        </w:tc>
        <w:tc>
          <w:tcPr>
            <w:tcW w:w="6787" w:type="dxa"/>
            <w:vAlign w:val="center"/>
          </w:tcPr>
          <w:p w14:paraId="5380F30D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源地址、目标地址、端口、协议和时间信息。</w:t>
            </w:r>
          </w:p>
        </w:tc>
      </w:tr>
      <w:tr w14:paraId="3B87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4" w:type="dxa"/>
            <w:vAlign w:val="center"/>
          </w:tcPr>
          <w:p w14:paraId="3C4B642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流量日志</w:t>
            </w:r>
          </w:p>
        </w:tc>
        <w:tc>
          <w:tcPr>
            <w:tcW w:w="6787" w:type="dxa"/>
            <w:vAlign w:val="center"/>
          </w:tcPr>
          <w:p w14:paraId="1EE6C890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上行/下行流量、在线时长、连接数等。</w:t>
            </w:r>
          </w:p>
        </w:tc>
      </w:tr>
    </w:tbl>
    <w:p w14:paraId="0BC5114E">
      <w:pPr>
        <w:rPr>
          <w:rFonts w:hint="eastAsia" w:ascii="微软雅黑" w:hAnsi="微软雅黑" w:eastAsia="微软雅黑" w:cs="微软雅黑"/>
        </w:rPr>
      </w:pPr>
    </w:p>
    <w:p w14:paraId="4D48CDDD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5.3 留存周期与存储方式</w:t>
      </w:r>
    </w:p>
    <w:p w14:paraId="1AEE2707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方式一：自建日志服务器。所有场所日志统一存储，留存 180 天，满足长期查询和集中管理需求。</w:t>
      </w:r>
    </w:p>
    <w:p w14:paraId="13649639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方式二：通过云平台按标准格式向省网监平台上报，作为集中审计与监管对接方案。</w:t>
      </w:r>
    </w:p>
    <w:p w14:paraId="4E152ABF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小型</w:t>
      </w:r>
      <w:r>
        <w:rPr>
          <w:rFonts w:hint="eastAsia" w:ascii="微软雅黑" w:hAnsi="微软雅黑" w:eastAsia="微软雅黑" w:cs="微软雅黑"/>
        </w:rPr>
        <w:t>酒店无需单独建设日志服务器。多场所共享一套集中日志能力，有利于控制成本并简化后期运维。</w:t>
      </w:r>
    </w:p>
    <w:p w14:paraId="36933F81">
      <w:pPr>
        <w:spacing w:after="120" w:line="360" w:lineRule="auto"/>
        <w:ind w:firstLine="44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大型酒店可自建认证、日志，保证用户数据仅在本地留存，同时可方便与PMS系统对接。</w:t>
      </w:r>
    </w:p>
    <w:p w14:paraId="5BE6DF0D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5.4 查询与追溯能力</w:t>
      </w:r>
    </w:p>
    <w:p w14:paraId="01C5B761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支持按手机号、账号、IP、MAC、时间段等多条件查询。</w:t>
      </w:r>
    </w:p>
    <w:p w14:paraId="4EAD45F2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支持日志导出和调查取证使用。</w:t>
      </w:r>
    </w:p>
    <w:p w14:paraId="3C52B976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支持从身份信息追溯到具体上网行为。</w:t>
      </w:r>
    </w:p>
    <w:p w14:paraId="09EE513C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六、对接公安网监方案</w:t>
      </w:r>
    </w:p>
    <w:p w14:paraId="55725AF3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6.1 标准日志输出能力</w:t>
      </w:r>
    </w:p>
    <w:p w14:paraId="126257EF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系统可按监管要求输出标准化日志数据，包含用户身份标识、终端标识、网络标识、时间信息和访问行为等核心字段。</w:t>
      </w:r>
    </w:p>
    <w:p w14:paraId="6774DF40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6.2 两种对接路径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236"/>
      </w:tblGrid>
      <w:tr w14:paraId="7213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376FD938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对接路径</w:t>
            </w:r>
          </w:p>
        </w:tc>
        <w:tc>
          <w:tcPr>
            <w:tcW w:w="6236" w:type="dxa"/>
          </w:tcPr>
          <w:p w14:paraId="2FF2E032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说明</w:t>
            </w:r>
          </w:p>
        </w:tc>
      </w:tr>
      <w:tr w14:paraId="3D4C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vAlign w:val="center"/>
          </w:tcPr>
          <w:p w14:paraId="2591D7BC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本地日志服务器集中上报</w:t>
            </w:r>
          </w:p>
        </w:tc>
        <w:tc>
          <w:tcPr>
            <w:tcW w:w="6236" w:type="dxa"/>
            <w:vAlign w:val="center"/>
          </w:tcPr>
          <w:p w14:paraId="7DB5411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各场所日志先上传至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云端</w:t>
            </w:r>
            <w:r>
              <w:rPr>
                <w:rFonts w:hint="eastAsia" w:ascii="微软雅黑" w:hAnsi="微软雅黑" w:eastAsia="微软雅黑" w:cs="微软雅黑"/>
              </w:rPr>
              <w:t>日志服务器，再统一按标准接口推送至省公安网监平台。</w:t>
            </w:r>
          </w:p>
        </w:tc>
      </w:tr>
      <w:tr w14:paraId="55BDB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vAlign w:val="center"/>
          </w:tcPr>
          <w:p w14:paraId="721B0574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云平台统一转发</w:t>
            </w:r>
          </w:p>
        </w:tc>
        <w:tc>
          <w:tcPr>
            <w:tcW w:w="6236" w:type="dxa"/>
            <w:vAlign w:val="center"/>
          </w:tcPr>
          <w:p w14:paraId="06589CCE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认证平台或云平台完成标准化整理后，再向省网监平台转发。</w:t>
            </w:r>
          </w:p>
        </w:tc>
      </w:tr>
    </w:tbl>
    <w:p w14:paraId="26CCE128">
      <w:pPr>
        <w:rPr>
          <w:rFonts w:hint="eastAsia" w:ascii="微软雅黑" w:hAnsi="微软雅黑" w:eastAsia="微软雅黑" w:cs="微软雅黑"/>
        </w:rPr>
      </w:pPr>
    </w:p>
    <w:p w14:paraId="7377351D">
      <w:pPr>
        <w:spacing w:after="120" w:line="360" w:lineRule="auto"/>
        <w:ind w:firstLine="44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本方案不绑定特定第三方厂商名称，重点在于具备标准日志组织、集中存储和按接口规范输出的能力。</w:t>
      </w:r>
    </w:p>
    <w:p w14:paraId="633FCB71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6.3 满足监管要求的对应能力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7143"/>
      </w:tblGrid>
      <w:tr w14:paraId="47F2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</w:tcPr>
          <w:p w14:paraId="0DD9DF98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监管要求</w:t>
            </w:r>
          </w:p>
        </w:tc>
        <w:tc>
          <w:tcPr>
            <w:tcW w:w="7143" w:type="dxa"/>
          </w:tcPr>
          <w:p w14:paraId="6E763919">
            <w:pPr>
              <w:spacing w:after="0" w:line="24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对应能力</w:t>
            </w:r>
          </w:p>
        </w:tc>
      </w:tr>
      <w:tr w14:paraId="7739B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41092E28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身份可查</w:t>
            </w:r>
          </w:p>
        </w:tc>
        <w:tc>
          <w:tcPr>
            <w:tcW w:w="7143" w:type="dxa"/>
            <w:vAlign w:val="center"/>
          </w:tcPr>
          <w:p w14:paraId="089626D1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短信、微信、账号等多种认证方式与上网行为关联。</w:t>
            </w:r>
          </w:p>
        </w:tc>
      </w:tr>
      <w:tr w14:paraId="520D1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490D261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行为可溯</w:t>
            </w:r>
          </w:p>
        </w:tc>
        <w:tc>
          <w:tcPr>
            <w:tcW w:w="7143" w:type="dxa"/>
            <w:vAlign w:val="center"/>
          </w:tcPr>
          <w:p w14:paraId="3DB33B9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记录认证日志、行为日志和地址映射信息。</w:t>
            </w:r>
          </w:p>
        </w:tc>
      </w:tr>
      <w:tr w14:paraId="48E8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3822D276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留存达标</w:t>
            </w:r>
          </w:p>
        </w:tc>
        <w:tc>
          <w:tcPr>
            <w:tcW w:w="7143" w:type="dxa"/>
            <w:vAlign w:val="center"/>
          </w:tcPr>
          <w:p w14:paraId="3F7B2426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支持不少于 180 天留存，并可按需延长。</w:t>
            </w:r>
          </w:p>
        </w:tc>
      </w:tr>
      <w:tr w14:paraId="0FB13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8" w:type="dxa"/>
            <w:vAlign w:val="center"/>
          </w:tcPr>
          <w:p w14:paraId="7D548EC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数据可上报</w:t>
            </w:r>
          </w:p>
        </w:tc>
        <w:tc>
          <w:tcPr>
            <w:tcW w:w="7143" w:type="dxa"/>
            <w:vAlign w:val="center"/>
          </w:tcPr>
          <w:p w14:paraId="3E774625">
            <w:pPr>
              <w:spacing w:after="0" w:line="24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支持按标准格式输出并对接监管平台。</w:t>
            </w:r>
          </w:p>
        </w:tc>
      </w:tr>
    </w:tbl>
    <w:p w14:paraId="33F407CA">
      <w:pPr>
        <w:rPr>
          <w:rFonts w:hint="eastAsia" w:ascii="微软雅黑" w:hAnsi="微软雅黑" w:eastAsia="微软雅黑" w:cs="微软雅黑"/>
        </w:rPr>
      </w:pPr>
    </w:p>
    <w:p w14:paraId="0842DC48">
      <w:pPr>
        <w:pStyle w:val="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七、方案优势</w:t>
      </w:r>
    </w:p>
    <w:p w14:paraId="555A6294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7.1 稳定性</w:t>
      </w:r>
    </w:p>
    <w:p w14:paraId="72C45C33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认证与审计功能集中管理、分布部署，既便于统一控制，也降低单点改造风险。</w:t>
      </w:r>
    </w:p>
    <w:p w14:paraId="2A2B7060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认证网关在公共场所本地承担接入控制与日志采集职责，适合多场所并行部署。</w:t>
      </w:r>
    </w:p>
    <w:p w14:paraId="6863A035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7.2 成本控制</w:t>
      </w:r>
    </w:p>
    <w:p w14:paraId="0FC32E7E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不需要每个场所单独建设日志平台。</w:t>
      </w:r>
    </w:p>
    <w:p w14:paraId="4FE88CEB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优先旁路部署，减少原网改造和停业影响。</w:t>
      </w:r>
    </w:p>
    <w:p w14:paraId="5F39F48D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统一平台管理多场所，降低长期运维投入。</w:t>
      </w:r>
    </w:p>
    <w:p w14:paraId="5B043487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7.3 运维简化</w:t>
      </w:r>
    </w:p>
    <w:p w14:paraId="318C881A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统一后台管理认证策略、Portal 页面和日志查询。</w:t>
      </w:r>
    </w:p>
    <w:p w14:paraId="4EB44D7D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支持远程运维、统一策略下发和集中巡检。</w:t>
      </w:r>
    </w:p>
    <w:p w14:paraId="6986E1D2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发生问题时可从</w:t>
      </w:r>
      <w:r>
        <w:rPr>
          <w:rFonts w:hint="eastAsia" w:ascii="微软雅黑" w:hAnsi="微软雅黑" w:eastAsia="微软雅黑" w:cs="微软雅黑"/>
          <w:lang w:val="en-US" w:eastAsia="zh-CN"/>
        </w:rPr>
        <w:t>云</w:t>
      </w:r>
      <w:r>
        <w:rPr>
          <w:rFonts w:hint="eastAsia" w:ascii="微软雅黑" w:hAnsi="微软雅黑" w:eastAsia="微软雅黑" w:cs="微软雅黑"/>
        </w:rPr>
        <w:t>平台快速定位。</w:t>
      </w:r>
    </w:p>
    <w:p w14:paraId="4F65C226"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7.4 可扩展性</w:t>
      </w:r>
    </w:p>
    <w:p w14:paraId="65762624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可从单场所扩展到多场所集中管理。</w:t>
      </w:r>
    </w:p>
    <w:p w14:paraId="14B7C0FF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可从酒店场景扩展到园区、公寓、医院、景区等公共场所。</w:t>
      </w:r>
    </w:p>
    <w:p w14:paraId="06910656">
      <w:pPr>
        <w:numPr>
          <w:ilvl w:val="0"/>
          <w:numId w:val="7"/>
        </w:numPr>
        <w:spacing w:after="60" w:line="360" w:lineRule="auto"/>
        <w:ind w:left="84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可根据行业特点扩展对应的认证方式和业务联动方式。</w:t>
      </w:r>
    </w:p>
    <w:p w14:paraId="60F5059B">
      <w:pPr>
        <w:spacing w:after="120" w:line="360" w:lineRule="auto"/>
        <w:rPr>
          <w:rFonts w:hint="eastAsia" w:ascii="微软雅黑" w:hAnsi="微软雅黑" w:eastAsia="微软雅黑" w:cs="微软雅黑"/>
        </w:rPr>
      </w:pPr>
    </w:p>
    <w:sectPr>
      <w:pgSz w:w="12240" w:h="15840"/>
      <w:pgMar w:top="1440" w:right="1474" w:bottom="1440" w:left="1701" w:header="850" w:footer="85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654AC9"/>
    <w:multiLevelType w:val="singleLevel"/>
    <w:tmpl w:val="97654AC9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0F87F79"/>
    <w:rsid w:val="56E7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7375E" w:themeColor="text2" w:themeShade="BF"/>
      <w:spacing w:val="5"/>
      <w:kern w:val="28"/>
      <w:sz w:val="36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2717</Words>
  <Characters>2826</Characters>
  <Lines>0</Lines>
  <Paragraphs>0</Paragraphs>
  <TotalTime>14</TotalTime>
  <ScaleCrop>false</ScaleCrop>
  <LinksUpToDate>false</LinksUpToDate>
  <CharactersWithSpaces>2885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itsw163com</cp:lastModifiedBy>
  <dcterms:modified xsi:type="dcterms:W3CDTF">2026-04-22T02:45:14Z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eyJoZGlkIjoiODViOTRhZjdkMWRlYWEyODJiNTJmN2QwY2EyOWE4ZGYiLCJ1c2VySWQiOiI3NTM4NDYxIn0=</vt:lpwstr>
  </property>
  <property fmtid="{D5CDD505-2E9C-101B-9397-08002B2CF9AE}" pid="3" name="KSOProductBuildVer">
    <vt:lpwstr>2052-12.1.0.25860</vt:lpwstr>
  </property>
  <property fmtid="{D5CDD505-2E9C-101B-9397-08002B2CF9AE}" pid="4" name="ICV">
    <vt:lpwstr>8B3075EE8FDE435D87B58512D21F7F8E_13</vt:lpwstr>
  </property>
</Properties>
</file>