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AD3A2">
      <w:pPr>
        <w:spacing w:after="240" w:line="360" w:lineRule="auto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0F2E46"/>
          <w:sz w:val="48"/>
        </w:rPr>
        <w:br w:type="textWrapping"/>
      </w:r>
      <w:r>
        <w:rPr>
          <w:rFonts w:hint="eastAsia" w:ascii="微软雅黑" w:hAnsi="微软雅黑" w:eastAsia="微软雅黑" w:cs="微软雅黑"/>
          <w:b/>
          <w:color w:val="0F2E46"/>
          <w:sz w:val="48"/>
        </w:rPr>
        <w:br w:type="textWrapping"/>
      </w:r>
      <w:r>
        <w:rPr>
          <w:rFonts w:hint="eastAsia" w:ascii="微软雅黑" w:hAnsi="微软雅黑" w:eastAsia="微软雅黑" w:cs="微软雅黑"/>
          <w:b/>
          <w:color w:val="0F2E46"/>
          <w:sz w:val="48"/>
        </w:rPr>
        <w:t>校园网络投资建设与运营合作方案</w:t>
      </w:r>
    </w:p>
    <w:p w14:paraId="13B94C29">
      <w:pPr>
        <w:spacing w:line="360" w:lineRule="auto"/>
        <w:jc w:val="both"/>
        <w:rPr>
          <w:rFonts w:hint="eastAsia" w:ascii="微软雅黑" w:hAnsi="微软雅黑" w:eastAsia="微软雅黑" w:cs="微软雅黑"/>
          <w:lang w:eastAsia="zh-CN"/>
        </w:rPr>
      </w:pPr>
    </w:p>
    <w:p w14:paraId="5B492BBB">
      <w:pPr>
        <w:spacing w:before="520" w:line="360" w:lineRule="auto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646464"/>
          <w:sz w:val="23"/>
        </w:rPr>
        <w:t>建设 · 运维 · 运营 · 认证计费 · 多运营商出口 · 安全审计</w:t>
      </w:r>
    </w:p>
    <w:p w14:paraId="671AAF82">
      <w:pPr>
        <w:spacing w:before="1200" w:line="360" w:lineRule="auto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1E1E1E"/>
          <w:sz w:val="22"/>
        </w:rPr>
        <w:t>适用：学校校园网新建、改造、运营合作及领导汇报</w:t>
      </w:r>
    </w:p>
    <w:p w14:paraId="26AE5D4F">
      <w:pPr>
        <w:spacing w:before="1400" w:line="360" w:lineRule="auto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646464"/>
          <w:sz w:val="21"/>
        </w:rPr>
        <w:t>2026年4月</w:t>
      </w:r>
    </w:p>
    <w:p w14:paraId="3EDCB9D7">
      <w:pPr>
        <w:spacing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7ED61F86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阅读说明：这份方案解决什么问题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6"/>
      </w:tblGrid>
      <w:tr w14:paraId="437B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6" w:type="dxa"/>
            <w:shd w:val="clear" w:color="auto" w:fill="EAF2F8"/>
          </w:tcPr>
          <w:p w14:paraId="09815B17">
            <w:pPr>
              <w:spacing w:after="8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1F4E79"/>
                <w:sz w:val="21"/>
              </w:rPr>
              <w:t>一句话定位</w:t>
            </w:r>
          </w:p>
          <w:p w14:paraId="2412F8D0">
            <w:pPr>
              <w:spacing w:after="4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1E1E1E"/>
                <w:sz w:val="20"/>
              </w:rPr>
              <w:t>本方案不是单纯卖设备，也不是让学校一次性采购一套网络；而是由投资运营方承担校园网络建设、平台部署、出口运营、日常运维与持续优化，学校保留管理和监督权，最终形成一套可长期运行、可统一管理、可持续升级的校园网络服务体系。</w:t>
            </w:r>
          </w:p>
        </w:tc>
      </w:tr>
    </w:tbl>
    <w:p w14:paraId="63D9A9D1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68A49F74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为了便于没有技术背景的学校领导理解，本方案尽量用“学校能感知到的价值”来解释技术问题：</w:t>
      </w:r>
    </w:p>
    <w:p w14:paraId="299270AF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对学校：减少一次性投入，降低运维压力，提升网络服务质量。</w:t>
      </w:r>
    </w:p>
    <w:p w14:paraId="0C1263DE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对师生：改善宿舍、教学区、办公区、公共区域的上网体验。</w:t>
      </w:r>
    </w:p>
    <w:p w14:paraId="7D6E7764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对管理：统一认证、统一计费、统一审计、统一服务，减少多方扯皮。</w:t>
      </w:r>
    </w:p>
    <w:p w14:paraId="367FDD07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对长期发展：网络不是一次性工程，而是伴随学校信息化持续升级的基础设施。</w:t>
      </w:r>
    </w:p>
    <w:p w14:paraId="109B6189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目录</w:t>
      </w:r>
    </w:p>
    <w:p w14:paraId="7DED1054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1. 项目背景与学校关切</w:t>
      </w:r>
    </w:p>
    <w:p w14:paraId="5A596A75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2. 校园网络现状痛点</w:t>
      </w:r>
    </w:p>
    <w:p w14:paraId="5D3CB095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3. 为什么采用投资运营合作模式</w:t>
      </w:r>
    </w:p>
    <w:p w14:paraId="1F037D1F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4. 合作总体目标</w:t>
      </w:r>
    </w:p>
    <w:p w14:paraId="6651C1DE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5. 总体架构与建设思路</w:t>
      </w:r>
    </w:p>
    <w:p w14:paraId="3E3FB87A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6. 基础网络建设方案</w:t>
      </w:r>
    </w:p>
    <w:p w14:paraId="771BD3F1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7. 统一认证计费与运营体系</w:t>
      </w:r>
    </w:p>
    <w:p w14:paraId="1E60F8C1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8. 多运营商出口与联合运营</w:t>
      </w:r>
    </w:p>
    <w:p w14:paraId="7B6F0025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9. 安全审计与合规追溯</w:t>
      </w:r>
    </w:p>
    <w:p w14:paraId="2E366F84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10. 运维服务与过渡期保障</w:t>
      </w:r>
    </w:p>
    <w:p w14:paraId="199C1EBF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11. 合作模式与权责边界</w:t>
      </w:r>
    </w:p>
    <w:p w14:paraId="18227AD5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12. 实施计划与里程碑</w:t>
      </w:r>
    </w:p>
    <w:p w14:paraId="21640BC1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13. 学校价值与领导决策要点</w:t>
      </w:r>
    </w:p>
    <w:p w14:paraId="51CDFB89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14. 常见问题说明</w:t>
      </w:r>
    </w:p>
    <w:p w14:paraId="745F70D4">
      <w:pPr>
        <w:spacing w:after="4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15. 附件：参考资料提炼要点</w:t>
      </w:r>
    </w:p>
    <w:p w14:paraId="390282C5">
      <w:pPr>
        <w:spacing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br w:type="page"/>
      </w:r>
    </w:p>
    <w:p w14:paraId="51D8B476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一、项目背景与学校关切</w:t>
      </w:r>
    </w:p>
    <w:p w14:paraId="192AA123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随着智慧校园建设推进，校园网络已经不再只是“能不能上网”的问题。它承载着教学资源访问、宿舍生活、办公协同、移动学习、学生服务、校园安全和后勤运营等多类场景。学校领导关心的核心，通常不是某一台设备性能，而是这张网能不能长期稳定、师生体验能不能提升、学校投入和运维压力能不能下降。</w:t>
      </w:r>
    </w:p>
    <w:p w14:paraId="11CA849E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1.1 学校领导最关心的五个问题</w:t>
      </w:r>
    </w:p>
    <w:p w14:paraId="25043976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投入问题：学校是否需要一次性投入大量资金？后续升级是否仍要反复追加预算？</w:t>
      </w:r>
    </w:p>
    <w:p w14:paraId="488A107D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体验问题：学生宿舍、教学楼、办公区、操场、食堂等场景能否稳定使用？高峰期是否会卡顿？</w:t>
      </w:r>
    </w:p>
    <w:p w14:paraId="6107A123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管理问题：不同运营商、不同区域、不同用户群体是否能够统一管理？</w:t>
      </w:r>
    </w:p>
    <w:p w14:paraId="44DE4E26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运维问题：网络故障、开户缴费、认证投诉、账号管理等是否继续由学校信息中心承担？</w:t>
      </w:r>
    </w:p>
    <w:p w14:paraId="265C2732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安全问题：是否可以做到实名接入、日志留存、异常可查、责任可追溯？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6"/>
      </w:tblGrid>
      <w:tr w14:paraId="7D4AC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6" w:type="dxa"/>
            <w:shd w:val="clear" w:color="auto" w:fill="EAF2F8"/>
          </w:tcPr>
          <w:p w14:paraId="5D94CF36">
            <w:pPr>
              <w:spacing w:after="8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1F4E79"/>
                <w:sz w:val="21"/>
              </w:rPr>
              <w:t>汇报重点</w:t>
            </w:r>
          </w:p>
          <w:p w14:paraId="5D46CD92">
            <w:pPr>
              <w:spacing w:after="4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1E1E1E"/>
                <w:sz w:val="20"/>
              </w:rPr>
              <w:t>投资运营合作的价值，不是把学校原来要做的事情“外包出去”这么简单，而是通过投资、建设、运营、运维一体化的方式，把校园网变成一项可持续服务。</w:t>
            </w:r>
          </w:p>
        </w:tc>
      </w:tr>
    </w:tbl>
    <w:p w14:paraId="2E0B0B68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048E36E9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二、校园网络现状痛点</w:t>
      </w:r>
    </w:p>
    <w:p w14:paraId="1E14B0C5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结合参考资料中的高校、中职和校园出口运营场景，学校常见问题可以归纳为七类。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09D6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1F4E79"/>
            <w:vAlign w:val="center"/>
          </w:tcPr>
          <w:p w14:paraId="358ABBB5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痛点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5D780E11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典型表现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34B67C6F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造成的影响</w:t>
            </w:r>
          </w:p>
        </w:tc>
      </w:tr>
      <w:tr w14:paraId="570A2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40610171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一次性投入压力大</w:t>
            </w:r>
          </w:p>
        </w:tc>
        <w:tc>
          <w:tcPr>
            <w:tcW w:w="3249" w:type="dxa"/>
            <w:vAlign w:val="center"/>
          </w:tcPr>
          <w:p w14:paraId="739201F1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无线覆盖、交换机、核心、出口、认证计费平台、施工布线都需要资金</w:t>
            </w:r>
          </w:p>
        </w:tc>
        <w:tc>
          <w:tcPr>
            <w:tcW w:w="3249" w:type="dxa"/>
            <w:vAlign w:val="center"/>
          </w:tcPr>
          <w:p w14:paraId="6CE2F14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建设周期长，预算压力大，后续升级还要追加投入</w:t>
            </w:r>
          </w:p>
        </w:tc>
      </w:tr>
      <w:tr w14:paraId="5D05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1FBC78FB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学生体验不稳定</w:t>
            </w:r>
          </w:p>
        </w:tc>
        <w:tc>
          <w:tcPr>
            <w:tcW w:w="3249" w:type="dxa"/>
            <w:vAlign w:val="center"/>
          </w:tcPr>
          <w:p w14:paraId="099BE66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宿舍高密并发、教学区漫游不顺、公共区域高峰拥塞</w:t>
            </w:r>
          </w:p>
        </w:tc>
        <w:tc>
          <w:tcPr>
            <w:tcW w:w="3249" w:type="dxa"/>
            <w:vAlign w:val="center"/>
          </w:tcPr>
          <w:p w14:paraId="766EEEDB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投诉集中，影响学校服务评价</w:t>
            </w:r>
          </w:p>
        </w:tc>
      </w:tr>
      <w:tr w14:paraId="3951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2024776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运营商分散建设</w:t>
            </w:r>
          </w:p>
        </w:tc>
        <w:tc>
          <w:tcPr>
            <w:tcW w:w="3249" w:type="dxa"/>
            <w:vAlign w:val="center"/>
          </w:tcPr>
          <w:p w14:paraId="6FC9F95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多家运营商各建各的网，线路、账号、服务分散</w:t>
            </w:r>
          </w:p>
        </w:tc>
        <w:tc>
          <w:tcPr>
            <w:tcW w:w="3249" w:type="dxa"/>
            <w:vAlign w:val="center"/>
          </w:tcPr>
          <w:p w14:paraId="6C62911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管理复杂，出现故障时互相推诿</w:t>
            </w:r>
          </w:p>
        </w:tc>
      </w:tr>
      <w:tr w14:paraId="0C35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35510B6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认证计费割裂</w:t>
            </w:r>
          </w:p>
        </w:tc>
        <w:tc>
          <w:tcPr>
            <w:tcW w:w="3249" w:type="dxa"/>
            <w:vAlign w:val="center"/>
          </w:tcPr>
          <w:p w14:paraId="6FE9935B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宿舍、教学、办公、访客采用不同接入方式</w:t>
            </w:r>
          </w:p>
        </w:tc>
        <w:tc>
          <w:tcPr>
            <w:tcW w:w="3249" w:type="dxa"/>
            <w:vAlign w:val="center"/>
          </w:tcPr>
          <w:p w14:paraId="0110685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用户体验割裂，学校缺少统一管理抓手</w:t>
            </w:r>
          </w:p>
        </w:tc>
      </w:tr>
      <w:tr w14:paraId="522DD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14204EB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带宽使用不均</w:t>
            </w:r>
          </w:p>
        </w:tc>
        <w:tc>
          <w:tcPr>
            <w:tcW w:w="3249" w:type="dxa"/>
            <w:vAlign w:val="center"/>
          </w:tcPr>
          <w:p w14:paraId="762BC8F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部分学生多终端、账号共享、私接路由器、带宽占用异常</w:t>
            </w:r>
          </w:p>
        </w:tc>
        <w:tc>
          <w:tcPr>
            <w:tcW w:w="3249" w:type="dxa"/>
            <w:vAlign w:val="center"/>
          </w:tcPr>
          <w:p w14:paraId="18A8DCE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正常用户体验受影响，资源浪费</w:t>
            </w:r>
          </w:p>
        </w:tc>
      </w:tr>
      <w:tr w14:paraId="2C90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5FA1DF9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日志审计不足</w:t>
            </w:r>
          </w:p>
        </w:tc>
        <w:tc>
          <w:tcPr>
            <w:tcW w:w="3249" w:type="dxa"/>
            <w:vAlign w:val="center"/>
          </w:tcPr>
          <w:p w14:paraId="207C270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账号、IP、MAC、上网行为无法统一关联</w:t>
            </w:r>
          </w:p>
        </w:tc>
        <w:tc>
          <w:tcPr>
            <w:tcW w:w="3249" w:type="dxa"/>
            <w:vAlign w:val="center"/>
          </w:tcPr>
          <w:p w14:paraId="5D1E3CF5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安全事件追溯困难，合规压力增大</w:t>
            </w:r>
          </w:p>
        </w:tc>
      </w:tr>
      <w:tr w14:paraId="4668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3601892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运维人力被占用</w:t>
            </w:r>
          </w:p>
        </w:tc>
        <w:tc>
          <w:tcPr>
            <w:tcW w:w="3249" w:type="dxa"/>
            <w:vAlign w:val="center"/>
          </w:tcPr>
          <w:p w14:paraId="1853613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开户、缴费、故障、投诉、账号变更都消耗校方精力</w:t>
            </w:r>
          </w:p>
        </w:tc>
        <w:tc>
          <w:tcPr>
            <w:tcW w:w="3249" w:type="dxa"/>
            <w:vAlign w:val="center"/>
          </w:tcPr>
          <w:p w14:paraId="3251098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信息中心难以聚焦数字化建设和教学支撑</w:t>
            </w:r>
          </w:p>
        </w:tc>
      </w:tr>
    </w:tbl>
    <w:p w14:paraId="4974EF97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176A30FB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因此，校园网建设不能只看“覆盖范围”和“设备数量”，更要看后续是否能形成“统一建设、统一认证、统一计费、统一运维、统一审计”的闭环。</w:t>
      </w:r>
    </w:p>
    <w:p w14:paraId="3630B01D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三、为什么采用投资运营合作模式</w:t>
      </w:r>
    </w:p>
    <w:p w14:paraId="37C072C3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学校校园网建设通常有三种模式：学校自建自营、单一运营商建设运营、第三方投资运营合作。三种模式各有优劣，适合不同学校阶段。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949"/>
        <w:gridCol w:w="1949"/>
        <w:gridCol w:w="1949"/>
        <w:gridCol w:w="1949"/>
      </w:tblGrid>
      <w:tr w14:paraId="10C0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1F4E79"/>
            <w:vAlign w:val="center"/>
          </w:tcPr>
          <w:p w14:paraId="1CCFDB00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建设模式</w:t>
            </w:r>
          </w:p>
        </w:tc>
        <w:tc>
          <w:tcPr>
            <w:tcW w:w="1949" w:type="dxa"/>
            <w:shd w:val="clear" w:color="auto" w:fill="1F4E79"/>
            <w:vAlign w:val="center"/>
          </w:tcPr>
          <w:p w14:paraId="7A37AF57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学校投入</w:t>
            </w:r>
          </w:p>
        </w:tc>
        <w:tc>
          <w:tcPr>
            <w:tcW w:w="1949" w:type="dxa"/>
            <w:shd w:val="clear" w:color="auto" w:fill="1F4E79"/>
            <w:vAlign w:val="center"/>
          </w:tcPr>
          <w:p w14:paraId="6662C3CB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管理难度</w:t>
            </w:r>
          </w:p>
        </w:tc>
        <w:tc>
          <w:tcPr>
            <w:tcW w:w="1949" w:type="dxa"/>
            <w:shd w:val="clear" w:color="auto" w:fill="1F4E79"/>
            <w:vAlign w:val="center"/>
          </w:tcPr>
          <w:p w14:paraId="08D05092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运营灵活性</w:t>
            </w:r>
          </w:p>
        </w:tc>
        <w:tc>
          <w:tcPr>
            <w:tcW w:w="1949" w:type="dxa"/>
            <w:shd w:val="clear" w:color="auto" w:fill="1F4E79"/>
            <w:vAlign w:val="center"/>
          </w:tcPr>
          <w:p w14:paraId="49F6FAA6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主要风险</w:t>
            </w:r>
          </w:p>
        </w:tc>
      </w:tr>
      <w:tr w14:paraId="2849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EAF2F8"/>
            <w:vAlign w:val="center"/>
          </w:tcPr>
          <w:p w14:paraId="042EB04B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学校自建自营</w:t>
            </w:r>
          </w:p>
        </w:tc>
        <w:tc>
          <w:tcPr>
            <w:tcW w:w="1949" w:type="dxa"/>
            <w:vAlign w:val="center"/>
          </w:tcPr>
          <w:p w14:paraId="5A9AFD6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学校一次性投入较高</w:t>
            </w:r>
          </w:p>
        </w:tc>
        <w:tc>
          <w:tcPr>
            <w:tcW w:w="1949" w:type="dxa"/>
            <w:vAlign w:val="center"/>
          </w:tcPr>
          <w:p w14:paraId="5254DB7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学校承担建设、运维、升级和投诉</w:t>
            </w:r>
          </w:p>
        </w:tc>
        <w:tc>
          <w:tcPr>
            <w:tcW w:w="1949" w:type="dxa"/>
            <w:vAlign w:val="center"/>
          </w:tcPr>
          <w:p w14:paraId="2E58A77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自主权强，但运营能力要求高</w:t>
            </w:r>
          </w:p>
        </w:tc>
        <w:tc>
          <w:tcPr>
            <w:tcW w:w="1949" w:type="dxa"/>
            <w:vAlign w:val="center"/>
          </w:tcPr>
          <w:p w14:paraId="19BB80F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预算压力与运维压力较大</w:t>
            </w:r>
          </w:p>
        </w:tc>
      </w:tr>
      <w:tr w14:paraId="2CDB8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EAF2F8"/>
            <w:vAlign w:val="center"/>
          </w:tcPr>
          <w:p w14:paraId="72DA3B2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单一运营商建设</w:t>
            </w:r>
          </w:p>
        </w:tc>
        <w:tc>
          <w:tcPr>
            <w:tcW w:w="1949" w:type="dxa"/>
            <w:vAlign w:val="center"/>
          </w:tcPr>
          <w:p w14:paraId="1325E23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学校直接投入较低</w:t>
            </w:r>
          </w:p>
        </w:tc>
        <w:tc>
          <w:tcPr>
            <w:tcW w:w="1949" w:type="dxa"/>
            <w:vAlign w:val="center"/>
          </w:tcPr>
          <w:p w14:paraId="18A5133B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网络与运营商绑定较深</w:t>
            </w:r>
          </w:p>
        </w:tc>
        <w:tc>
          <w:tcPr>
            <w:tcW w:w="1949" w:type="dxa"/>
            <w:vAlign w:val="center"/>
          </w:tcPr>
          <w:p w14:paraId="1BD31F4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套餐与服务选择有限</w:t>
            </w:r>
          </w:p>
        </w:tc>
        <w:tc>
          <w:tcPr>
            <w:tcW w:w="1949" w:type="dxa"/>
            <w:vAlign w:val="center"/>
          </w:tcPr>
          <w:p w14:paraId="25A3E08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容易形成单一运营商依赖</w:t>
            </w:r>
          </w:p>
        </w:tc>
      </w:tr>
      <w:tr w14:paraId="147C7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EAF2F8"/>
            <w:vAlign w:val="center"/>
          </w:tcPr>
          <w:p w14:paraId="0539AAD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投资运营合作</w:t>
            </w:r>
          </w:p>
        </w:tc>
        <w:tc>
          <w:tcPr>
            <w:tcW w:w="1949" w:type="dxa"/>
            <w:vAlign w:val="center"/>
          </w:tcPr>
          <w:p w14:paraId="3E5F2FF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投资方承担建设与运营投入</w:t>
            </w:r>
          </w:p>
        </w:tc>
        <w:tc>
          <w:tcPr>
            <w:tcW w:w="1949" w:type="dxa"/>
            <w:vAlign w:val="center"/>
          </w:tcPr>
          <w:p w14:paraId="4DC09EC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学校统一监管，服务主体明确</w:t>
            </w:r>
          </w:p>
        </w:tc>
        <w:tc>
          <w:tcPr>
            <w:tcW w:w="1949" w:type="dxa"/>
            <w:vAlign w:val="center"/>
          </w:tcPr>
          <w:p w14:paraId="348ECE7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可引入多运营商竞争和统一平台</w:t>
            </w:r>
          </w:p>
        </w:tc>
        <w:tc>
          <w:tcPr>
            <w:tcW w:w="1949" w:type="dxa"/>
            <w:vAlign w:val="center"/>
          </w:tcPr>
          <w:p w14:paraId="0396869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需明确合作权责、服务标准和监管机制</w:t>
            </w:r>
          </w:p>
        </w:tc>
      </w:tr>
    </w:tbl>
    <w:p w14:paraId="15C3BD21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6B367450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3.1 投资运营合作的核心逻辑</w:t>
      </w:r>
    </w:p>
    <w:p w14:paraId="4B1F7C21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学校不必一次性承担全部基础网络建设成本，资金压力明显降低。</w:t>
      </w:r>
    </w:p>
    <w:p w14:paraId="001FE8E8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投资运营方通过长期运营回收投资，具备持续维护、升级和优化的动力。</w:t>
      </w:r>
    </w:p>
    <w:p w14:paraId="0571B032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学校通过合作协议约定建设范围、服务标准、资费机制、运维响应和安全要求。</w:t>
      </w:r>
    </w:p>
    <w:p w14:paraId="5EF1D47C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多运营商资源统一接入，学生可按套餐、价格、服务质量进行选择，避免单一垄断。</w:t>
      </w:r>
    </w:p>
    <w:p w14:paraId="474FED22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学校信息中心从低频、重复、事务性网络运维中释放出来，更聚焦信息化治理。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6"/>
      </w:tblGrid>
      <w:tr w14:paraId="4738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6" w:type="dxa"/>
            <w:shd w:val="clear" w:color="auto" w:fill="EAF2F8"/>
          </w:tcPr>
          <w:p w14:paraId="1F3D6257">
            <w:pPr>
              <w:spacing w:after="8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1F4E79"/>
                <w:sz w:val="21"/>
              </w:rPr>
              <w:t>建议合作定位</w:t>
            </w:r>
          </w:p>
          <w:p w14:paraId="00960E85">
            <w:pPr>
              <w:spacing w:after="4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1E1E1E"/>
                <w:sz w:val="20"/>
              </w:rPr>
              <w:t>本项目建议采用“投资运营商投建 + 学校监管 + 多运营商联合运营 + 统一平台管理”的合作方式。合作期可根据学校规模、投资规模和回收周期设置为8-10年，具体以双方商务协议为准。</w:t>
            </w:r>
          </w:p>
        </w:tc>
      </w:tr>
    </w:tbl>
    <w:p w14:paraId="17F9BE1F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5E57E074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四、合作总体目标</w:t>
      </w:r>
    </w:p>
    <w:p w14:paraId="66669883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本方案的目标不是简单扩容带宽或增加无线AP，而是建设一套长期可运营的校园网络服务体系。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6D7C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1F4E79"/>
            <w:vAlign w:val="center"/>
          </w:tcPr>
          <w:p w14:paraId="4DAF101E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目标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24A72950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说明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72E84C3C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学校获得的结果</w:t>
            </w:r>
          </w:p>
        </w:tc>
      </w:tr>
      <w:tr w14:paraId="7AFD6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10E77B95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零或低一次性投入</w:t>
            </w:r>
          </w:p>
        </w:tc>
        <w:tc>
          <w:tcPr>
            <w:tcW w:w="3249" w:type="dxa"/>
            <w:vAlign w:val="center"/>
          </w:tcPr>
          <w:p w14:paraId="0461E34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由投资运营方承担基础网络与平台建设投入</w:t>
            </w:r>
          </w:p>
        </w:tc>
        <w:tc>
          <w:tcPr>
            <w:tcW w:w="3249" w:type="dxa"/>
            <w:vAlign w:val="center"/>
          </w:tcPr>
          <w:p w14:paraId="274B1F3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减轻学校建设经费压力</w:t>
            </w:r>
          </w:p>
        </w:tc>
      </w:tr>
      <w:tr w14:paraId="18B5A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64CF0B5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一张统一校园网</w:t>
            </w:r>
          </w:p>
        </w:tc>
        <w:tc>
          <w:tcPr>
            <w:tcW w:w="3249" w:type="dxa"/>
            <w:vAlign w:val="center"/>
          </w:tcPr>
          <w:p w14:paraId="288F374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宿舍、教学、办公、公共区域统一规划建设</w:t>
            </w:r>
          </w:p>
        </w:tc>
        <w:tc>
          <w:tcPr>
            <w:tcW w:w="3249" w:type="dxa"/>
            <w:vAlign w:val="center"/>
          </w:tcPr>
          <w:p w14:paraId="63ECC0F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减少重复建设和碎片化管理</w:t>
            </w:r>
          </w:p>
        </w:tc>
      </w:tr>
      <w:tr w14:paraId="6E26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690CCBB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多运营商接入</w:t>
            </w:r>
          </w:p>
        </w:tc>
        <w:tc>
          <w:tcPr>
            <w:tcW w:w="3249" w:type="dxa"/>
            <w:vAlign w:val="center"/>
          </w:tcPr>
          <w:p w14:paraId="0A26FB6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电信、联通、移动等资源统一接入校园出口</w:t>
            </w:r>
          </w:p>
        </w:tc>
        <w:tc>
          <w:tcPr>
            <w:tcW w:w="3249" w:type="dxa"/>
            <w:vAlign w:val="center"/>
          </w:tcPr>
          <w:p w14:paraId="0AC67EBC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学生有选择，市场更公平</w:t>
            </w:r>
          </w:p>
        </w:tc>
      </w:tr>
      <w:tr w14:paraId="76B5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6C990EA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统一认证计费</w:t>
            </w:r>
          </w:p>
        </w:tc>
        <w:tc>
          <w:tcPr>
            <w:tcW w:w="3249" w:type="dxa"/>
            <w:vAlign w:val="center"/>
          </w:tcPr>
          <w:p w14:paraId="12BF8EC1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认证、套餐、续费、终端数、带宽策略统一管理</w:t>
            </w:r>
          </w:p>
        </w:tc>
        <w:tc>
          <w:tcPr>
            <w:tcW w:w="3249" w:type="dxa"/>
            <w:vAlign w:val="center"/>
          </w:tcPr>
          <w:p w14:paraId="6C6ACAB6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减少人工开户、收费、续费与投诉</w:t>
            </w:r>
          </w:p>
        </w:tc>
      </w:tr>
      <w:tr w14:paraId="5F9EE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1C8CFBFC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统一安全审计</w:t>
            </w:r>
          </w:p>
        </w:tc>
        <w:tc>
          <w:tcPr>
            <w:tcW w:w="3249" w:type="dxa"/>
            <w:vAlign w:val="center"/>
          </w:tcPr>
          <w:p w14:paraId="05C9B7D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保留上网日志，账号、MAC、IP、时间可关联</w:t>
            </w:r>
          </w:p>
        </w:tc>
        <w:tc>
          <w:tcPr>
            <w:tcW w:w="3249" w:type="dxa"/>
            <w:vAlign w:val="center"/>
          </w:tcPr>
          <w:p w14:paraId="4A262895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提升可追溯能力</w:t>
            </w:r>
          </w:p>
        </w:tc>
      </w:tr>
      <w:tr w14:paraId="24A94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6726906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专业运维服务</w:t>
            </w:r>
          </w:p>
        </w:tc>
        <w:tc>
          <w:tcPr>
            <w:tcW w:w="3249" w:type="dxa"/>
            <w:vAlign w:val="center"/>
          </w:tcPr>
          <w:p w14:paraId="39AC04CD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驻场、远程、工单、巡检、重大故障响应</w:t>
            </w:r>
          </w:p>
        </w:tc>
        <w:tc>
          <w:tcPr>
            <w:tcW w:w="3249" w:type="dxa"/>
            <w:vAlign w:val="center"/>
          </w:tcPr>
          <w:p w14:paraId="51A7093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降低学校运维压力</w:t>
            </w:r>
          </w:p>
        </w:tc>
      </w:tr>
    </w:tbl>
    <w:p w14:paraId="37354895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49D822F2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五、总体架构与建设思路</w:t>
      </w:r>
    </w:p>
    <w:p w14:paraId="47B21EDD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总体架构可以理解为五层：基础网络层、认证计费层、多运营商出口层、安全审计层、运维服务层。领导不需要掌握每个协议细节，只需要理解每一层解决什么问题。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6F40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1F4E79"/>
            <w:vAlign w:val="center"/>
          </w:tcPr>
          <w:p w14:paraId="5F5F8B6B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层级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7F812AF9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主要内容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500B9015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解决的问题</w:t>
            </w:r>
          </w:p>
        </w:tc>
      </w:tr>
      <w:tr w14:paraId="4D738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35BB069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基础网络层</w:t>
            </w:r>
          </w:p>
        </w:tc>
        <w:tc>
          <w:tcPr>
            <w:tcW w:w="3249" w:type="dxa"/>
            <w:vAlign w:val="center"/>
          </w:tcPr>
          <w:p w14:paraId="4E36992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核心交换、汇聚交换、AP/全光接入、宿舍与公共区域覆盖</w:t>
            </w:r>
          </w:p>
        </w:tc>
        <w:tc>
          <w:tcPr>
            <w:tcW w:w="3249" w:type="dxa"/>
            <w:vAlign w:val="center"/>
          </w:tcPr>
          <w:p w14:paraId="4834E81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解决“哪里有网、稳定不稳定、带宽是否够”的问题</w:t>
            </w:r>
          </w:p>
        </w:tc>
      </w:tr>
      <w:tr w14:paraId="7A506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0C1C976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认证计费层</w:t>
            </w:r>
          </w:p>
        </w:tc>
        <w:tc>
          <w:tcPr>
            <w:tcW w:w="3249" w:type="dxa"/>
            <w:vAlign w:val="center"/>
          </w:tcPr>
          <w:p w14:paraId="37317B7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Portal、Radius、PPPoE/802.1X、MAC无感知、套餐管理、自助缴费</w:t>
            </w:r>
          </w:p>
        </w:tc>
        <w:tc>
          <w:tcPr>
            <w:tcW w:w="3249" w:type="dxa"/>
            <w:vAlign w:val="center"/>
          </w:tcPr>
          <w:p w14:paraId="34F6327C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解决“谁在用、怎么用、怎么收费、怎么续费”的问题</w:t>
            </w:r>
          </w:p>
        </w:tc>
      </w:tr>
      <w:tr w14:paraId="3FC4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66E05A6D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多运营商出口层</w:t>
            </w:r>
          </w:p>
        </w:tc>
        <w:tc>
          <w:tcPr>
            <w:tcW w:w="3249" w:type="dxa"/>
            <w:vAlign w:val="center"/>
          </w:tcPr>
          <w:p w14:paraId="68BE31F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三大运营商出口、PPPoE代拨、地址池、策略路由</w:t>
            </w:r>
          </w:p>
        </w:tc>
        <w:tc>
          <w:tcPr>
            <w:tcW w:w="3249" w:type="dxa"/>
            <w:vAlign w:val="center"/>
          </w:tcPr>
          <w:p w14:paraId="2ADDD41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解决“学生可选运营商、校内校外访问顺畅”的问题</w:t>
            </w:r>
          </w:p>
        </w:tc>
      </w:tr>
      <w:tr w14:paraId="2695E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251D729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安全审计层</w:t>
            </w:r>
          </w:p>
        </w:tc>
        <w:tc>
          <w:tcPr>
            <w:tcW w:w="3249" w:type="dxa"/>
            <w:vAlign w:val="center"/>
          </w:tcPr>
          <w:p w14:paraId="0DDC92D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实名接入、日志留存、防代理、账号-MAC-IP-时间关联</w:t>
            </w:r>
          </w:p>
        </w:tc>
        <w:tc>
          <w:tcPr>
            <w:tcW w:w="3249" w:type="dxa"/>
            <w:vAlign w:val="center"/>
          </w:tcPr>
          <w:p w14:paraId="0426845C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解决“出问题能不能查、能不能追溯”的问题</w:t>
            </w:r>
          </w:p>
        </w:tc>
      </w:tr>
      <w:tr w14:paraId="7CD50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18343AF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运维服务层</w:t>
            </w:r>
          </w:p>
        </w:tc>
        <w:tc>
          <w:tcPr>
            <w:tcW w:w="3249" w:type="dxa"/>
            <w:vAlign w:val="center"/>
          </w:tcPr>
          <w:p w14:paraId="45C0A55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驻场工程师、远程客服、工单系统、巡检、开学季保障</w:t>
            </w:r>
          </w:p>
        </w:tc>
        <w:tc>
          <w:tcPr>
            <w:tcW w:w="3249" w:type="dxa"/>
            <w:vAlign w:val="center"/>
          </w:tcPr>
          <w:p w14:paraId="50CEC4B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解决“谁负责、响应多快、长期怎么维护”的问题</w:t>
            </w:r>
          </w:p>
        </w:tc>
      </w:tr>
    </w:tbl>
    <w:p w14:paraId="01736C81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50A14BCE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六、基础网络建设方案</w:t>
      </w:r>
    </w:p>
    <w:p w14:paraId="0AD54142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6.1 建设区域</w:t>
      </w:r>
    </w:p>
    <w:p w14:paraId="08C3574C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宿舍区：高密度接入、套餐计费、防共享、防私接、晚高峰保障。</w:t>
      </w:r>
    </w:p>
    <w:p w14:paraId="77C977C5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教学区：教学资源访问、无线漫游、教师与学生差异化策略。</w:t>
      </w:r>
    </w:p>
    <w:p w14:paraId="65C7302E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办公区：有线无线一体化、内外网边界、安全准入。</w:t>
      </w:r>
    </w:p>
    <w:p w14:paraId="4026007C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公共区域：食堂、图书馆、体育场、广场、道路等高峰场景覆盖。</w:t>
      </w:r>
    </w:p>
    <w:p w14:paraId="48D26C44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机房与出口：核心交换、出口链路、多运营商资源、日志审计和平台服务器。</w:t>
      </w:r>
    </w:p>
    <w:p w14:paraId="0E2E42B0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6.2 建设原则</w:t>
      </w:r>
    </w:p>
    <w:p w14:paraId="5D50D5D9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统一规划、分步实施：先完成总体架构设计，再按校区、楼栋、场景分阶段推进。</w:t>
      </w:r>
    </w:p>
    <w:p w14:paraId="60046CD6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标准化与兼容性：设备、协议、接口尽量采用通用标准，便于与学校现有系统和运营商网络对接。</w:t>
      </w:r>
    </w:p>
    <w:p w14:paraId="7A058C3B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可扩展：充分考虑未来带宽增长、终端增长、业务增长和运营系统扩展。</w:t>
      </w:r>
    </w:p>
    <w:p w14:paraId="0102BF12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可管理：不仅要看到设备是否在线，还要能统计用户、流量、套餐、故障和运维情况。</w:t>
      </w:r>
    </w:p>
    <w:p w14:paraId="32DDCB7D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低扰动：既有网络已在运行的区域，优先采用小范围试点、旁路接入、分时切换和过渡策略。</w:t>
      </w:r>
    </w:p>
    <w:p w14:paraId="23D79722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6.3 AP、PON/全光与宿舍接入说明</w:t>
      </w:r>
    </w:p>
    <w:p w14:paraId="0CE96114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参考资料中提到的POE+AP、POL+AP、全光2.5G接入等方式，核心区别不是“哪一种一定最好”，而是应根据学校楼宇结构、宿舍密度、预算、后期维护和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sz w:val="21"/>
        </w:rPr>
        <w:t>运营方式综合选择。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5AB2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1F4E79"/>
            <w:vAlign w:val="center"/>
          </w:tcPr>
          <w:p w14:paraId="3E752AA5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方案方向</w:t>
            </w:r>
          </w:p>
        </w:tc>
        <w:tc>
          <w:tcPr>
            <w:tcW w:w="2436" w:type="dxa"/>
            <w:shd w:val="clear" w:color="auto" w:fill="1F4E79"/>
            <w:vAlign w:val="center"/>
          </w:tcPr>
          <w:p w14:paraId="5E7F73A7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适用场景</w:t>
            </w:r>
          </w:p>
        </w:tc>
        <w:tc>
          <w:tcPr>
            <w:tcW w:w="2436" w:type="dxa"/>
            <w:shd w:val="clear" w:color="auto" w:fill="1F4E79"/>
            <w:vAlign w:val="center"/>
          </w:tcPr>
          <w:p w14:paraId="0107F3BD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优势</w:t>
            </w:r>
          </w:p>
        </w:tc>
        <w:tc>
          <w:tcPr>
            <w:tcW w:w="2436" w:type="dxa"/>
            <w:shd w:val="clear" w:color="auto" w:fill="1F4E79"/>
            <w:vAlign w:val="center"/>
          </w:tcPr>
          <w:p w14:paraId="6F9AFAD4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注意事项</w:t>
            </w:r>
          </w:p>
        </w:tc>
      </w:tr>
      <w:tr w14:paraId="1D51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AF2F8"/>
            <w:vAlign w:val="center"/>
          </w:tcPr>
          <w:p w14:paraId="28BA4F7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POE+AP</w:t>
            </w:r>
          </w:p>
        </w:tc>
        <w:tc>
          <w:tcPr>
            <w:tcW w:w="2436" w:type="dxa"/>
            <w:vAlign w:val="center"/>
          </w:tcPr>
          <w:p w14:paraId="65A3219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教学区、办公区、公共区域、部分宿舍</w:t>
            </w:r>
          </w:p>
        </w:tc>
        <w:tc>
          <w:tcPr>
            <w:tcW w:w="2436" w:type="dxa"/>
            <w:vAlign w:val="center"/>
          </w:tcPr>
          <w:p w14:paraId="749E487C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统一管理、调优方便、认证计费接入清晰</w:t>
            </w:r>
          </w:p>
        </w:tc>
        <w:tc>
          <w:tcPr>
            <w:tcW w:w="2436" w:type="dxa"/>
            <w:vAlign w:val="center"/>
          </w:tcPr>
          <w:p w14:paraId="012F06F6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需合理规划弱电间、交换机、供电和布线</w:t>
            </w:r>
          </w:p>
        </w:tc>
      </w:tr>
      <w:tr w14:paraId="0F4B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AF2F8"/>
            <w:vAlign w:val="center"/>
          </w:tcPr>
          <w:p w14:paraId="663E337D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POL/全光+AP</w:t>
            </w:r>
          </w:p>
        </w:tc>
        <w:tc>
          <w:tcPr>
            <w:tcW w:w="2436" w:type="dxa"/>
            <w:vAlign w:val="center"/>
          </w:tcPr>
          <w:p w14:paraId="663E60F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新建或大规模改造项目、宿舍楼、带宽要求高的区域</w:t>
            </w:r>
          </w:p>
        </w:tc>
        <w:tc>
          <w:tcPr>
            <w:tcW w:w="2436" w:type="dxa"/>
            <w:vAlign w:val="center"/>
          </w:tcPr>
          <w:p w14:paraId="0E0853E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链路容量大、瓶颈少、未来扩展空间好</w:t>
            </w:r>
          </w:p>
        </w:tc>
        <w:tc>
          <w:tcPr>
            <w:tcW w:w="2436" w:type="dxa"/>
            <w:vAlign w:val="center"/>
          </w:tcPr>
          <w:p w14:paraId="23147E0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前期规划要求较高，施工组织需统一</w:t>
            </w:r>
          </w:p>
        </w:tc>
      </w:tr>
      <w:tr w14:paraId="0DA65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AF2F8"/>
            <w:vAlign w:val="center"/>
          </w:tcPr>
          <w:p w14:paraId="5F5DE64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光猫直接无线</w:t>
            </w:r>
          </w:p>
        </w:tc>
        <w:tc>
          <w:tcPr>
            <w:tcW w:w="2436" w:type="dxa"/>
            <w:vAlign w:val="center"/>
          </w:tcPr>
          <w:p w14:paraId="52804DC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小范围、临时、低管理要求区域</w:t>
            </w:r>
          </w:p>
        </w:tc>
        <w:tc>
          <w:tcPr>
            <w:tcW w:w="2436" w:type="dxa"/>
            <w:vAlign w:val="center"/>
          </w:tcPr>
          <w:p w14:paraId="47519D5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前期简单，建设成本低</w:t>
            </w:r>
          </w:p>
        </w:tc>
        <w:tc>
          <w:tcPr>
            <w:tcW w:w="2436" w:type="dxa"/>
            <w:vAlign w:val="center"/>
          </w:tcPr>
          <w:p w14:paraId="7FD938B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统一管理、认证计费、运维排障和后期扩展能力较弱</w:t>
            </w:r>
          </w:p>
        </w:tc>
      </w:tr>
    </w:tbl>
    <w:p w14:paraId="6344DF7B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1BA9A7EB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七、统一认证计费与运营体系</w:t>
      </w:r>
    </w:p>
    <w:p w14:paraId="57907DB8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统一认证计费系统是校园网从“能连上”走向“能运营”的关键。它不是单纯收费工具，而是把账号、身份、终端、套餐、权限、带宽和日志统一起来。</w:t>
      </w:r>
    </w:p>
    <w:p w14:paraId="68807DCE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7.1 统一认证能力</w:t>
      </w:r>
    </w:p>
    <w:p w14:paraId="0D36FFEC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Portal认证：学生连接WiFi后跳转统一认证页面，可展示上网须知、套餐信息和学校提示。</w:t>
      </w:r>
    </w:p>
    <w:p w14:paraId="0F8C90FF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PPPoE/802.1X/IPoE等方式：适配不同宿舍、教学、办公和运营商接入场景。</w:t>
      </w:r>
    </w:p>
    <w:p w14:paraId="5B00519B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MAC无感知认证：首次认证后绑定账号与终端，后续在有效期内自动放行，减少重复认证。</w:t>
      </w:r>
    </w:p>
    <w:p w14:paraId="45657447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短信/账号认证：适用于访客、临时人员、外包人员等不同群体。</w:t>
      </w:r>
    </w:p>
    <w:p w14:paraId="06FD75A3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统一身份对接：可根据实际情况对接学校统一身份、教务、一卡通或运营商账号体系。</w:t>
      </w:r>
    </w:p>
    <w:p w14:paraId="49577387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7.2 统一计费能力</w:t>
      </w:r>
    </w:p>
    <w:p w14:paraId="4FA72942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支持包月、包年、按时长、按流量、融合套餐等多种运营方式。</w:t>
      </w:r>
    </w:p>
    <w:p w14:paraId="75F3C2F7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支持自助开户、自助缴费、续费、套餐查询、账号状态查询。</w:t>
      </w:r>
    </w:p>
    <w:p w14:paraId="5390C10B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支持终端数控制、带宽策略、欠费停机、到期提醒和自动恢复。</w:t>
      </w:r>
    </w:p>
    <w:p w14:paraId="737BD874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支持按校区、楼栋、用户组、运营商、套餐类型进行差异化策略配置。</w:t>
      </w:r>
    </w:p>
    <w:p w14:paraId="775CB129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支持多运营商套餐引入，学生可根据价格、套餐和服务质量自主选择。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6"/>
      </w:tblGrid>
      <w:tr w14:paraId="2BB22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6" w:type="dxa"/>
            <w:shd w:val="clear" w:color="auto" w:fill="EAF2F8"/>
          </w:tcPr>
          <w:p w14:paraId="5B380588">
            <w:pPr>
              <w:spacing w:after="8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1F4E79"/>
                <w:sz w:val="21"/>
              </w:rPr>
              <w:t>领导需要理解的关键点</w:t>
            </w:r>
          </w:p>
          <w:p w14:paraId="3328328F">
            <w:pPr>
              <w:spacing w:after="4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1E1E1E"/>
                <w:sz w:val="20"/>
              </w:rPr>
              <w:t>计费不是简单“收钱”。对学校来说，计费系统更重要的作用是把学生上网从人工管理变成规则管理，从人工开户续费变成自助服务，从分散运营变成统一可监督运营。</w:t>
            </w:r>
          </w:p>
        </w:tc>
      </w:tr>
    </w:tbl>
    <w:p w14:paraId="11E5B69E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3CECE710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八、多运营商出口与联合运营</w:t>
      </w:r>
    </w:p>
    <w:p w14:paraId="5118D1DA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参考材料中多次强调“联合运营”“多运营商接入”“学生自由选择”。这对学校有两层意义：一是避免单一运营商垄断；二是通过竞争提高服务质量和性价比。</w:t>
      </w:r>
    </w:p>
    <w:p w14:paraId="334E47B7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8.1 多运营商接入方式</w:t>
      </w:r>
    </w:p>
    <w:p w14:paraId="3A917D1B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电信、联通、移动等运营商提供出口带宽或套餐资源。</w:t>
      </w:r>
    </w:p>
    <w:p w14:paraId="10C57C4C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投资运营方统一建设校园内网、认证计费平台和出口管理能力。</w:t>
      </w:r>
    </w:p>
    <w:p w14:paraId="7CE6969C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学生在统一Portal或自助服务平台选择套餐，平台根据套餐归属分配相应线路或代拨资源。</w:t>
      </w:r>
    </w:p>
    <w:p w14:paraId="039BD23B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校内教学资源访问与互联网访问可采用不同策略，保障教学资源访问质量。</w:t>
      </w:r>
    </w:p>
    <w:p w14:paraId="3FEB6738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8.2 带宽与扩容机制</w:t>
      </w:r>
    </w:p>
    <w:p w14:paraId="22A84D09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参考资料中提出“提供不低于10G多运营商互联网带宽资源”“带宽峰值达到80%触发扩容”等思路。实际项目可根据学校规模和初期用户量设置起步带宽，并约定扩容触发机制。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1E5D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1F4E79"/>
            <w:vAlign w:val="center"/>
          </w:tcPr>
          <w:p w14:paraId="38F86EC1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项目阶段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0F9F3ABD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带宽策略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736F21BF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扩容原则</w:t>
            </w:r>
          </w:p>
        </w:tc>
      </w:tr>
      <w:tr w14:paraId="6C42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1D5AB12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建设初期</w:t>
            </w:r>
          </w:p>
        </w:tc>
        <w:tc>
          <w:tcPr>
            <w:tcW w:w="3249" w:type="dxa"/>
            <w:vAlign w:val="center"/>
          </w:tcPr>
          <w:p w14:paraId="6182185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按学生规模、宿舍规模和历史峰值估算起步带宽</w:t>
            </w:r>
          </w:p>
        </w:tc>
        <w:tc>
          <w:tcPr>
            <w:tcW w:w="3249" w:type="dxa"/>
            <w:vAlign w:val="center"/>
          </w:tcPr>
          <w:p w14:paraId="69D8B06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以满足开学季和晚高峰体验为基本目标</w:t>
            </w:r>
          </w:p>
        </w:tc>
      </w:tr>
      <w:tr w14:paraId="2D745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5545950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运营稳定期</w:t>
            </w:r>
          </w:p>
        </w:tc>
        <w:tc>
          <w:tcPr>
            <w:tcW w:w="3249" w:type="dxa"/>
            <w:vAlign w:val="center"/>
          </w:tcPr>
          <w:p w14:paraId="78D9A34C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持续监测在线人数、峰值利用率、投诉情况</w:t>
            </w:r>
          </w:p>
        </w:tc>
        <w:tc>
          <w:tcPr>
            <w:tcW w:w="3249" w:type="dxa"/>
            <w:vAlign w:val="center"/>
          </w:tcPr>
          <w:p w14:paraId="5D9E4A5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峰值长期超过约定阈值时启动扩容</w:t>
            </w:r>
          </w:p>
        </w:tc>
      </w:tr>
      <w:tr w14:paraId="1EB7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38EA92E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活动/迎新/考试期</w:t>
            </w:r>
          </w:p>
        </w:tc>
        <w:tc>
          <w:tcPr>
            <w:tcW w:w="3249" w:type="dxa"/>
            <w:vAlign w:val="center"/>
          </w:tcPr>
          <w:p w14:paraId="0BBFA1E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提前评估临时并发和区域热点</w:t>
            </w:r>
          </w:p>
        </w:tc>
        <w:tc>
          <w:tcPr>
            <w:tcW w:w="3249" w:type="dxa"/>
            <w:vAlign w:val="center"/>
          </w:tcPr>
          <w:p w14:paraId="5833D4E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采用临时扩容、分流、策略保障等方式</w:t>
            </w:r>
          </w:p>
        </w:tc>
      </w:tr>
    </w:tbl>
    <w:p w14:paraId="5AED17F5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2D8B03E1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九、安全审计与合规追溯</w:t>
      </w:r>
    </w:p>
    <w:p w14:paraId="1DB61394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校园网络既要好用，也要可管、可查、可追溯。安全审计不是事后补充项，而应在网络建设初期就纳入统一设计。</w:t>
      </w:r>
    </w:p>
    <w:p w14:paraId="500E4B98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实名接入：将用户账号与身份、终端、IP、MAC等信息关联。</w:t>
      </w:r>
    </w:p>
    <w:p w14:paraId="33259C1C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日志留存：记录认证日志、上下线日志、访问日志和安全事件日志，留存周期按学校和属地监管要求配置。</w:t>
      </w:r>
    </w:p>
    <w:p w14:paraId="35074CF1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防代理与防共享：识别账号共享、私接路由器、异常终端数量等行为。</w:t>
      </w:r>
    </w:p>
    <w:p w14:paraId="45810B50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审计查询：支持按账号、时间、IP、MAC、楼栋、运营商等维度查询。</w:t>
      </w:r>
    </w:p>
    <w:p w14:paraId="6937A774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权限边界：教师、学生、访客、外包人员、校领导等不同身份可采用不同策略。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6"/>
      </w:tblGrid>
      <w:tr w14:paraId="4E24F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6" w:type="dxa"/>
            <w:shd w:val="clear" w:color="auto" w:fill="EAF2F8"/>
          </w:tcPr>
          <w:p w14:paraId="229E56FD">
            <w:pPr>
              <w:spacing w:after="8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1F4E79"/>
                <w:sz w:val="21"/>
              </w:rPr>
              <w:t>审计目标</w:t>
            </w:r>
          </w:p>
          <w:p w14:paraId="49D885D9">
            <w:pPr>
              <w:spacing w:after="4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1E1E1E"/>
                <w:sz w:val="20"/>
              </w:rPr>
              <w:t>安全审计的目的不是增加师生使用负担，而是在不影响正常体验的前提下，为学校建立必要的网络安全底座：谁在用、什么时候用、从哪里用、出了问题能不能查。</w:t>
            </w:r>
          </w:p>
        </w:tc>
      </w:tr>
    </w:tbl>
    <w:p w14:paraId="7C838344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3F47CB2A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十、运维服务与过渡期保障</w:t>
      </w:r>
    </w:p>
    <w:p w14:paraId="6E4E4CD2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10.1 运维服务体系</w:t>
      </w:r>
    </w:p>
    <w:p w14:paraId="47F47CC1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参考资料中提出驻场工程师、远程技术、远程客服、重大故障处理等配置。建议本项目建立“驻场服务 + 远程支撑 + 工单闭环 + 重大故障响应”的运维体系。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31E77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1F4E79"/>
            <w:vAlign w:val="center"/>
          </w:tcPr>
          <w:p w14:paraId="1FCFD918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服务类别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718599BA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建议内容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41DC4CF2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学校价值</w:t>
            </w:r>
          </w:p>
        </w:tc>
      </w:tr>
      <w:tr w14:paraId="2722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31B601F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驻场服务</w:t>
            </w:r>
          </w:p>
        </w:tc>
        <w:tc>
          <w:tcPr>
            <w:tcW w:w="3249" w:type="dxa"/>
            <w:vAlign w:val="center"/>
          </w:tcPr>
          <w:p w14:paraId="5B4DFED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根据规模配置驻场工程师，负责日常巡检、故障处理、用户支持</w:t>
            </w:r>
          </w:p>
        </w:tc>
        <w:tc>
          <w:tcPr>
            <w:tcW w:w="3249" w:type="dxa"/>
            <w:vAlign w:val="center"/>
          </w:tcPr>
          <w:p w14:paraId="0A50C64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现场响应更快，减少学校协调成本</w:t>
            </w:r>
          </w:p>
        </w:tc>
      </w:tr>
      <w:tr w14:paraId="547A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7688040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远程技术支持</w:t>
            </w:r>
          </w:p>
        </w:tc>
        <w:tc>
          <w:tcPr>
            <w:tcW w:w="3249" w:type="dxa"/>
            <w:vAlign w:val="center"/>
          </w:tcPr>
          <w:p w14:paraId="290B0A8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对复杂故障、平台配置、运营策略进行远程支撑</w:t>
            </w:r>
          </w:p>
        </w:tc>
        <w:tc>
          <w:tcPr>
            <w:tcW w:w="3249" w:type="dxa"/>
            <w:vAlign w:val="center"/>
          </w:tcPr>
          <w:p w14:paraId="7D7FF32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保证专业能力稳定输出</w:t>
            </w:r>
          </w:p>
        </w:tc>
      </w:tr>
      <w:tr w14:paraId="1A76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5993B1F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客服与工单</w:t>
            </w:r>
          </w:p>
        </w:tc>
        <w:tc>
          <w:tcPr>
            <w:tcW w:w="3249" w:type="dxa"/>
            <w:vAlign w:val="center"/>
          </w:tcPr>
          <w:p w14:paraId="5C9DC606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学生投诉、账号问题、缴费问题通过统一渠道处理</w:t>
            </w:r>
          </w:p>
        </w:tc>
        <w:tc>
          <w:tcPr>
            <w:tcW w:w="3249" w:type="dxa"/>
            <w:vAlign w:val="center"/>
          </w:tcPr>
          <w:p w14:paraId="737A6D5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减少信息中心直接面对大量用户问题</w:t>
            </w:r>
          </w:p>
        </w:tc>
      </w:tr>
      <w:tr w14:paraId="175BD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1DB2837D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重大故障响应</w:t>
            </w:r>
          </w:p>
        </w:tc>
        <w:tc>
          <w:tcPr>
            <w:tcW w:w="3249" w:type="dxa"/>
            <w:vAlign w:val="center"/>
          </w:tcPr>
          <w:p w14:paraId="3318CD3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整层、整楼、出口、认证平台等重大故障建立7×24响应机制</w:t>
            </w:r>
          </w:p>
        </w:tc>
        <w:tc>
          <w:tcPr>
            <w:tcW w:w="3249" w:type="dxa"/>
            <w:vAlign w:val="center"/>
          </w:tcPr>
          <w:p w14:paraId="139E760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降低突发风险影响范围</w:t>
            </w:r>
          </w:p>
        </w:tc>
      </w:tr>
    </w:tbl>
    <w:p w14:paraId="4C499C8F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71E0C1B6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10.2 过渡期方案</w:t>
      </w:r>
    </w:p>
    <w:p w14:paraId="48EE0AC6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老网改造最怕“一切换就出问题”。因此实施时不建议全网一次性割接，而应采用分区域、分批次、可回退的方式。</w:t>
      </w:r>
    </w:p>
    <w:p w14:paraId="7D46629B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现网调研：梳理现有运营商线路、设备品牌、拓扑结构、弱电间、宿舍覆盖、投诉热点。</w:t>
      </w:r>
    </w:p>
    <w:p w14:paraId="30162EF4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小范围试点：选取一栋楼或一片区域进行认证、计费、出口和服务流程验证。</w:t>
      </w:r>
    </w:p>
    <w:p w14:paraId="62F1BBE3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预放行策略：在认证系统调试期间，必要时设置短期、受控、限速的临时放行，避免影响师生基本使用。</w:t>
      </w:r>
    </w:p>
    <w:p w14:paraId="7E03AEDB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分批切换：按楼栋或区域逐步切换，观察稳定后再扩大范围。</w:t>
      </w:r>
    </w:p>
    <w:p w14:paraId="1D9868BC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回退机制：每次割接前明确回退方式，确保出现异常可快速恢复。</w:t>
      </w:r>
    </w:p>
    <w:p w14:paraId="248D388A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十一、合作模式与权责边界</w:t>
      </w:r>
    </w:p>
    <w:p w14:paraId="43DBFBD1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为保证合作长期稳定，建议在协议中明确学校、投资运营方、运营商之间的权责边界。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76EE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1F4E79"/>
            <w:vAlign w:val="center"/>
          </w:tcPr>
          <w:p w14:paraId="0CA7FBC8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主体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23C776FD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主要职责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1DE19343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说明</w:t>
            </w:r>
          </w:p>
        </w:tc>
      </w:tr>
      <w:tr w14:paraId="7D2FA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44D0B9F6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学校</w:t>
            </w:r>
          </w:p>
        </w:tc>
        <w:tc>
          <w:tcPr>
            <w:tcW w:w="3249" w:type="dxa"/>
            <w:vAlign w:val="center"/>
          </w:tcPr>
          <w:p w14:paraId="774A06F1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授予合作范围内校园网建设运营权益；制定服务标准；提供场地、电源、管道、机房等必要条件；监督资费和服务质量</w:t>
            </w:r>
          </w:p>
        </w:tc>
        <w:tc>
          <w:tcPr>
            <w:tcW w:w="3249" w:type="dxa"/>
            <w:vAlign w:val="center"/>
          </w:tcPr>
          <w:p w14:paraId="1D2ED55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学校保留管理权、监督权和重大事项决策权</w:t>
            </w:r>
          </w:p>
        </w:tc>
      </w:tr>
      <w:tr w14:paraId="7991E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721B5D95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投资运营方</w:t>
            </w:r>
          </w:p>
        </w:tc>
        <w:tc>
          <w:tcPr>
            <w:tcW w:w="3249" w:type="dxa"/>
            <w:vAlign w:val="center"/>
          </w:tcPr>
          <w:p w14:paraId="2783AE9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承担建设投资；负责网络建设、平台部署、运营组织、运维服务、持续优化和用户服务</w:t>
            </w:r>
          </w:p>
        </w:tc>
        <w:tc>
          <w:tcPr>
            <w:tcW w:w="3249" w:type="dxa"/>
            <w:vAlign w:val="center"/>
          </w:tcPr>
          <w:p w14:paraId="748C2F1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对服务质量、网络体验和日常运维负责</w:t>
            </w:r>
          </w:p>
        </w:tc>
      </w:tr>
      <w:tr w14:paraId="4744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1600B2B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运营商</w:t>
            </w:r>
          </w:p>
        </w:tc>
        <w:tc>
          <w:tcPr>
            <w:tcW w:w="3249" w:type="dxa"/>
            <w:vAlign w:val="center"/>
          </w:tcPr>
          <w:p w14:paraId="3F968C4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提供互联网出口、套餐资源、号码和融合业务支持</w:t>
            </w:r>
          </w:p>
        </w:tc>
        <w:tc>
          <w:tcPr>
            <w:tcW w:w="3249" w:type="dxa"/>
            <w:vAlign w:val="center"/>
          </w:tcPr>
          <w:p w14:paraId="45F34A1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在统一平台下参与良性竞争和联合运营</w:t>
            </w:r>
          </w:p>
        </w:tc>
      </w:tr>
      <w:tr w14:paraId="5DE3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60DFAD4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学生与用户</w:t>
            </w:r>
          </w:p>
        </w:tc>
        <w:tc>
          <w:tcPr>
            <w:tcW w:w="3249" w:type="dxa"/>
            <w:vAlign w:val="center"/>
          </w:tcPr>
          <w:p w14:paraId="0685721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按学校规范和套餐规则使用网络服务</w:t>
            </w:r>
          </w:p>
        </w:tc>
        <w:tc>
          <w:tcPr>
            <w:tcW w:w="3249" w:type="dxa"/>
            <w:vAlign w:val="center"/>
          </w:tcPr>
          <w:p w14:paraId="62E9557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通过统一认证、缴费和服务渠道获得网络服务</w:t>
            </w:r>
          </w:p>
        </w:tc>
      </w:tr>
    </w:tbl>
    <w:p w14:paraId="600EE769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3544844A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11.1 合作期限与资产建议</w:t>
      </w:r>
    </w:p>
    <w:p w14:paraId="71F35F11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合作期可结合投资规模、学生规模和回收周期设定为8-10年，具体由双方协商。</w:t>
      </w:r>
    </w:p>
    <w:p w14:paraId="192D30F4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合作期内，投资运营方负责设备维护、更新和运营；学校负责监督和管理规范制定。</w:t>
      </w:r>
    </w:p>
    <w:p w14:paraId="57A03C66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资产归属、合作期满后的资产处理、续约或移交方式，应在合同中明确。</w:t>
      </w:r>
    </w:p>
    <w:p w14:paraId="4C24900A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如校内已有运营商私建或历史合作网络，建议由学校牵头梳理协议关系，按照到期清退、统一纳管或有序并入方式处理。</w:t>
      </w:r>
    </w:p>
    <w:p w14:paraId="0D60CE8D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十二、实施计划与里程碑</w:t>
      </w:r>
    </w:p>
    <w:p w14:paraId="776A28BF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参考材料中部分项目建设周期提出“通常一个月内完成建设并投入使用”。实际项目周期需依据学校规模、既有网络复杂度、施工环境和设备到货情况确定。建议采用以下阶段推进。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6BC11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1F4E79"/>
            <w:vAlign w:val="center"/>
          </w:tcPr>
          <w:p w14:paraId="382AA7E0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阶段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78A0F7CC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主要工作</w:t>
            </w:r>
          </w:p>
        </w:tc>
        <w:tc>
          <w:tcPr>
            <w:tcW w:w="3249" w:type="dxa"/>
            <w:shd w:val="clear" w:color="auto" w:fill="1F4E79"/>
            <w:vAlign w:val="center"/>
          </w:tcPr>
          <w:p w14:paraId="4C58F803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交付成果</w:t>
            </w:r>
          </w:p>
        </w:tc>
      </w:tr>
      <w:tr w14:paraId="5D09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7D1C9EE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第1阶段：调研与方案确认</w:t>
            </w:r>
          </w:p>
        </w:tc>
        <w:tc>
          <w:tcPr>
            <w:tcW w:w="3249" w:type="dxa"/>
            <w:vAlign w:val="center"/>
          </w:tcPr>
          <w:p w14:paraId="7AF7BAC6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现场勘察、现网梳理、需求访谈、投资测算、实施边界确认</w:t>
            </w:r>
          </w:p>
        </w:tc>
        <w:tc>
          <w:tcPr>
            <w:tcW w:w="3249" w:type="dxa"/>
            <w:vAlign w:val="center"/>
          </w:tcPr>
          <w:p w14:paraId="7197E10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现网调研报告、建设方案、商务合作框架</w:t>
            </w:r>
          </w:p>
        </w:tc>
      </w:tr>
      <w:tr w14:paraId="16B1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6D28DCA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第2阶段：试点建设</w:t>
            </w:r>
          </w:p>
        </w:tc>
        <w:tc>
          <w:tcPr>
            <w:tcW w:w="3249" w:type="dxa"/>
            <w:vAlign w:val="center"/>
          </w:tcPr>
          <w:p w14:paraId="4E618E4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选择宿舍楼/教学区/公共区域进行试点，验证认证、计费、出口和运维流程</w:t>
            </w:r>
          </w:p>
        </w:tc>
        <w:tc>
          <w:tcPr>
            <w:tcW w:w="3249" w:type="dxa"/>
            <w:vAlign w:val="center"/>
          </w:tcPr>
          <w:p w14:paraId="2FC131A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试点报告、问题清单、优化方案</w:t>
            </w:r>
          </w:p>
        </w:tc>
      </w:tr>
      <w:tr w14:paraId="6443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2226B23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第3阶段：全面建设</w:t>
            </w:r>
          </w:p>
        </w:tc>
        <w:tc>
          <w:tcPr>
            <w:tcW w:w="3249" w:type="dxa"/>
            <w:vAlign w:val="center"/>
          </w:tcPr>
          <w:p w14:paraId="3000353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按楼栋和区域施工布线、设备安装、平台部署、出口联调</w:t>
            </w:r>
          </w:p>
        </w:tc>
        <w:tc>
          <w:tcPr>
            <w:tcW w:w="3249" w:type="dxa"/>
            <w:vAlign w:val="center"/>
          </w:tcPr>
          <w:p w14:paraId="74485CA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基础网络、认证计费平台、多运营商出口上线</w:t>
            </w:r>
          </w:p>
        </w:tc>
      </w:tr>
      <w:tr w14:paraId="35920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735A11D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第4阶段：割接与试运行</w:t>
            </w:r>
          </w:p>
        </w:tc>
        <w:tc>
          <w:tcPr>
            <w:tcW w:w="3249" w:type="dxa"/>
            <w:vAlign w:val="center"/>
          </w:tcPr>
          <w:p w14:paraId="4D1AE39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分批切换用户，进行高峰测试、套餐测试、缴费测试、日志测试</w:t>
            </w:r>
          </w:p>
        </w:tc>
        <w:tc>
          <w:tcPr>
            <w:tcW w:w="3249" w:type="dxa"/>
            <w:vAlign w:val="center"/>
          </w:tcPr>
          <w:p w14:paraId="13B09D8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试运行报告、服务响应机制</w:t>
            </w:r>
          </w:p>
        </w:tc>
      </w:tr>
      <w:tr w14:paraId="210B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AF2F8"/>
            <w:vAlign w:val="center"/>
          </w:tcPr>
          <w:p w14:paraId="708087F6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第5阶段：正式运营</w:t>
            </w:r>
          </w:p>
        </w:tc>
        <w:tc>
          <w:tcPr>
            <w:tcW w:w="3249" w:type="dxa"/>
            <w:vAlign w:val="center"/>
          </w:tcPr>
          <w:p w14:paraId="7E38957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进入长期运维、持续优化、数据分析、扩容和服务改进</w:t>
            </w:r>
          </w:p>
        </w:tc>
        <w:tc>
          <w:tcPr>
            <w:tcW w:w="3249" w:type="dxa"/>
            <w:vAlign w:val="center"/>
          </w:tcPr>
          <w:p w14:paraId="79963C20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月度/季度运营报告、问题闭环报告</w:t>
            </w:r>
          </w:p>
        </w:tc>
      </w:tr>
    </w:tbl>
    <w:p w14:paraId="6D18D842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1B7C591D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十三、学校价值与领导决策要点</w:t>
      </w:r>
    </w:p>
    <w:p w14:paraId="6D820F50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13.1 学校获得的综合价值</w:t>
      </w:r>
    </w:p>
    <w:p w14:paraId="49EBBDC7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资金价值：减少学校一次性投入，通过合作方式完成网络升级。</w:t>
      </w:r>
    </w:p>
    <w:p w14:paraId="11B5C51F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体验价值：改善宿舍、教学、办公和公共区域网络体验。</w:t>
      </w:r>
    </w:p>
    <w:p w14:paraId="0C6B54C0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管理价值：统一用户、统一认证、统一计费、统一审计、统一运维。</w:t>
      </w:r>
    </w:p>
    <w:p w14:paraId="48E4AB47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安全价值：提高实名接入、日志留存和事件追溯能力。</w:t>
      </w:r>
    </w:p>
    <w:p w14:paraId="7AC75BF8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运营价值：通过多运营商联合运营和套餐机制，为学生提供更多选择。</w:t>
      </w:r>
    </w:p>
    <w:p w14:paraId="4A3E1E49">
      <w:pPr>
        <w:pStyle w:val="16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服务价值：由专业团队承担日常网络服务，减少学校信息中心压力。</w:t>
      </w:r>
    </w:p>
    <w:p w14:paraId="54C99766">
      <w:pPr>
        <w:pStyle w:val="4"/>
        <w:spacing w:before="16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27"/>
        </w:rPr>
        <w:t>13.2 需要学校领导决策的事项</w:t>
      </w:r>
    </w:p>
    <w:p w14:paraId="33514C31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是否原则同意采用投资运营合作模式，降低学校一次性建设投入。</w:t>
      </w:r>
    </w:p>
    <w:p w14:paraId="0A3D51B9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是否明确合作范围：宿舍、教学、办公、公共区域、室外区域及现网接入边界。</w:t>
      </w:r>
    </w:p>
    <w:p w14:paraId="0CF720F1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是否同意由投资运营方统一引入多运营商资源，并接受学校监管。</w:t>
      </w:r>
    </w:p>
    <w:p w14:paraId="25F1366A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是否授权开展现网调研、投资测算和试点区域建设。</w:t>
      </w:r>
    </w:p>
    <w:p w14:paraId="5898D9BE">
      <w:pPr>
        <w:pStyle w:val="14"/>
        <w:spacing w:after="6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 w:val="20"/>
        </w:rPr>
        <w:t>是否明确合作年限、资费审批、资产归属、服务考核和退出机制等商务边界。</w:t>
      </w:r>
    </w:p>
    <w:p w14:paraId="1FC153CC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十四、常见问题说明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7008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1F4E79"/>
            <w:vAlign w:val="center"/>
          </w:tcPr>
          <w:p w14:paraId="75F5696F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问题</w:t>
            </w:r>
          </w:p>
        </w:tc>
        <w:tc>
          <w:tcPr>
            <w:tcW w:w="4873" w:type="dxa"/>
            <w:shd w:val="clear" w:color="auto" w:fill="1F4E79"/>
            <w:vAlign w:val="center"/>
          </w:tcPr>
          <w:p w14:paraId="48CC75DC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建议回答</w:t>
            </w:r>
          </w:p>
        </w:tc>
      </w:tr>
      <w:tr w14:paraId="06912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1F41AC4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学校是不是失去网络管理权？</w:t>
            </w:r>
          </w:p>
        </w:tc>
        <w:tc>
          <w:tcPr>
            <w:tcW w:w="4873" w:type="dxa"/>
            <w:vAlign w:val="center"/>
          </w:tcPr>
          <w:p w14:paraId="00B8F3B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不是。学校保留管理权、监督权和服务标准制定权，投资运营方承担建设、运维和服务责任。</w:t>
            </w:r>
          </w:p>
        </w:tc>
      </w:tr>
      <w:tr w14:paraId="18042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3D89238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会不会影响现有网络？</w:t>
            </w:r>
          </w:p>
        </w:tc>
        <w:tc>
          <w:tcPr>
            <w:tcW w:w="4873" w:type="dxa"/>
            <w:vAlign w:val="center"/>
          </w:tcPr>
          <w:p w14:paraId="72B52C72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实施时采用现网调研、试点验证、分批割接和回退机制，尽量减少对教学、办公和宿舍使用影响。</w:t>
            </w:r>
          </w:p>
        </w:tc>
      </w:tr>
      <w:tr w14:paraId="7685C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76C9CF0F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学生是否只能选一家运营商？</w:t>
            </w:r>
          </w:p>
        </w:tc>
        <w:tc>
          <w:tcPr>
            <w:tcW w:w="4873" w:type="dxa"/>
            <w:vAlign w:val="center"/>
          </w:tcPr>
          <w:p w14:paraId="0D8E8C66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建议采用多运营商联合运营，让学生根据套餐、价格和服务质量自主选择。</w:t>
            </w:r>
          </w:p>
        </w:tc>
      </w:tr>
      <w:tr w14:paraId="6D9C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3E202BBD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学校是否还需要投入资金？</w:t>
            </w:r>
          </w:p>
        </w:tc>
        <w:tc>
          <w:tcPr>
            <w:tcW w:w="4873" w:type="dxa"/>
            <w:vAlign w:val="center"/>
          </w:tcPr>
          <w:p w14:paraId="42C5540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基础网络、平台和运营投入原则上由投资运营方承担，具体范围以合作协议和建设清单为准。</w:t>
            </w:r>
          </w:p>
        </w:tc>
      </w:tr>
      <w:tr w14:paraId="54A0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14ACF921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后续网络不好谁负责？</w:t>
            </w:r>
          </w:p>
        </w:tc>
        <w:tc>
          <w:tcPr>
            <w:tcW w:w="4873" w:type="dxa"/>
            <w:vAlign w:val="center"/>
          </w:tcPr>
          <w:p w14:paraId="1CA4F5D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由投资运营方负责日常运维、故障处理、投诉受理和持续优化，学校按服务标准考核。</w:t>
            </w:r>
          </w:p>
        </w:tc>
      </w:tr>
      <w:tr w14:paraId="1FBA4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519097C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认证计费会不会增加学生麻烦？</w:t>
            </w:r>
          </w:p>
        </w:tc>
        <w:tc>
          <w:tcPr>
            <w:tcW w:w="4873" w:type="dxa"/>
            <w:vAlign w:val="center"/>
          </w:tcPr>
          <w:p w14:paraId="23380FFD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合理设计后可实现首次认证、后续无感知，学生自助开户、缴费和续费，减少重复操作。</w:t>
            </w:r>
          </w:p>
        </w:tc>
      </w:tr>
      <w:tr w14:paraId="251A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056325CB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如何保证安全？</w:t>
            </w:r>
          </w:p>
        </w:tc>
        <w:tc>
          <w:tcPr>
            <w:tcW w:w="4873" w:type="dxa"/>
            <w:vAlign w:val="center"/>
          </w:tcPr>
          <w:p w14:paraId="153DF333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通过统一认证、日志审计、防代理、防共享和账号终端关联，提升可追溯能力。</w:t>
            </w:r>
          </w:p>
        </w:tc>
      </w:tr>
    </w:tbl>
    <w:p w14:paraId="18DE7373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50FD5A71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十五、附件：参考资料提炼要点</w:t>
      </w:r>
    </w:p>
    <w:p w14:paraId="34C09EA7">
      <w:pPr>
        <w:spacing w:after="10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 w:val="0"/>
          <w:sz w:val="21"/>
        </w:rPr>
        <w:t>本方案综合参考了7份校园网投资、建设、认证计费、出口运营和中职校园合作相关材料，主要提炼如下：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873"/>
      </w:tblGrid>
      <w:tr w14:paraId="4C117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1F4E79"/>
            <w:vAlign w:val="center"/>
          </w:tcPr>
          <w:p w14:paraId="47FC86E2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参考材料类型</w:t>
            </w:r>
          </w:p>
        </w:tc>
        <w:tc>
          <w:tcPr>
            <w:tcW w:w="4873" w:type="dxa"/>
            <w:shd w:val="clear" w:color="auto" w:fill="1F4E79"/>
            <w:vAlign w:val="center"/>
          </w:tcPr>
          <w:p w14:paraId="272E81B8">
            <w:pPr>
              <w:spacing w:after="40"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FFFF"/>
                <w:sz w:val="17"/>
              </w:rPr>
              <w:t>提炼要点</w:t>
            </w:r>
          </w:p>
        </w:tc>
      </w:tr>
      <w:tr w14:paraId="1689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41A6EE4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智慧校园网投资建设运营方案</w:t>
            </w:r>
          </w:p>
        </w:tc>
        <w:tc>
          <w:tcPr>
            <w:tcW w:w="4873" w:type="dxa"/>
            <w:vAlign w:val="center"/>
          </w:tcPr>
          <w:p w14:paraId="1E75EACB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第三方投资建设、学校零或低投入、合作期、资产与管理权、政策支持、学校监管。</w:t>
            </w:r>
          </w:p>
        </w:tc>
      </w:tr>
      <w:tr w14:paraId="1FE7F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570A71FE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高校校园网出口运营解决方案</w:t>
            </w:r>
          </w:p>
        </w:tc>
        <w:tc>
          <w:tcPr>
            <w:tcW w:w="4873" w:type="dxa"/>
            <w:vAlign w:val="center"/>
          </w:tcPr>
          <w:p w14:paraId="3A2D4A4B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统一认证、Portal/Radius、PPPoE代拨、多运营商出口、防代理、日志审计、数据运营。</w:t>
            </w:r>
          </w:p>
        </w:tc>
      </w:tr>
      <w:tr w14:paraId="7F5B6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04DB1351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校园WIFI收费运营解决方案</w:t>
            </w:r>
          </w:p>
        </w:tc>
        <w:tc>
          <w:tcPr>
            <w:tcW w:w="4873" w:type="dxa"/>
            <w:vAlign w:val="center"/>
          </w:tcPr>
          <w:p w14:paraId="2F9EC067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自建与代拨模式、认证计费、套餐、自助缴费、多运营商联合运营。</w:t>
            </w:r>
          </w:p>
        </w:tc>
      </w:tr>
      <w:tr w14:paraId="68AF7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092112D9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光时代校园网络投资介绍</w:t>
            </w:r>
          </w:p>
        </w:tc>
        <w:tc>
          <w:tcPr>
            <w:tcW w:w="4873" w:type="dxa"/>
            <w:vAlign w:val="center"/>
          </w:tcPr>
          <w:p w14:paraId="3F6ACDA5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全光网络、带宽资源、维护体系、过渡期、建设运维运营一体化。</w:t>
            </w:r>
          </w:p>
        </w:tc>
      </w:tr>
      <w:tr w14:paraId="284DD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6DA72388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天津光时代校园投资汇报材料</w:t>
            </w:r>
          </w:p>
        </w:tc>
        <w:tc>
          <w:tcPr>
            <w:tcW w:w="4873" w:type="dxa"/>
            <w:vAlign w:val="center"/>
          </w:tcPr>
          <w:p w14:paraId="7B0D06C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智慧校园投资运营、网络覆盖、大数据运营、网络安全与服务体系。</w:t>
            </w:r>
          </w:p>
        </w:tc>
      </w:tr>
      <w:tr w14:paraId="752F0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0D7292F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中职校园合作方案</w:t>
            </w:r>
          </w:p>
        </w:tc>
        <w:tc>
          <w:tcPr>
            <w:tcW w:w="4873" w:type="dxa"/>
            <w:vAlign w:val="center"/>
          </w:tcPr>
          <w:p w14:paraId="1A61B4F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中职/高职场景、8年运营权、多运营商接入、套餐策略、校方支持、驻场运维。</w:t>
            </w:r>
          </w:p>
        </w:tc>
      </w:tr>
      <w:tr w14:paraId="54F0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14:paraId="3063B7BA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F2E46"/>
                <w:sz w:val="17"/>
              </w:rPr>
              <w:t>湖南师范大学WIFI建设运营方案</w:t>
            </w:r>
          </w:p>
        </w:tc>
        <w:tc>
          <w:tcPr>
            <w:tcW w:w="4873" w:type="dxa"/>
            <w:vAlign w:val="center"/>
          </w:tcPr>
          <w:p w14:paraId="78E92B34">
            <w:pPr>
              <w:spacing w:after="40" w:line="360" w:lineRule="auto"/>
              <w:jc w:val="left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 w:val="0"/>
                <w:sz w:val="17"/>
              </w:rPr>
              <w:t>作为校园WIFI建设和运营方案参考，用于补充高校无线建设与合作表达。</w:t>
            </w:r>
          </w:p>
        </w:tc>
      </w:tr>
    </w:tbl>
    <w:p w14:paraId="7249C71B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p w14:paraId="2E1DC392">
      <w:pPr>
        <w:pStyle w:val="3"/>
        <w:spacing w:before="240" w:after="120" w:line="360" w:lineRule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1F4E79"/>
          <w:sz w:val="34"/>
        </w:rPr>
        <w:t>结论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6"/>
      </w:tblGrid>
      <w:tr w14:paraId="03A2D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6" w:type="dxa"/>
            <w:shd w:val="clear" w:color="auto" w:fill="EAF2F8"/>
          </w:tcPr>
          <w:p w14:paraId="1CA785C8">
            <w:pPr>
              <w:spacing w:after="8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1F4E79"/>
                <w:sz w:val="21"/>
              </w:rPr>
              <w:t>建议学校采用“投资运营合作”模式推进校园网升级</w:t>
            </w:r>
          </w:p>
          <w:p w14:paraId="65DB87DD">
            <w:pPr>
              <w:spacing w:after="40" w:line="360" w:lineRule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1E1E1E"/>
                <w:sz w:val="20"/>
              </w:rPr>
              <w:t>该模式能够在降低学校一次性投入的同时，引入专业建设、认证计费、多运营商出口、日志审计和运维服务能力，帮助学校形成长期可用、可管、可运营、可升级的校园网络服务体系。</w:t>
            </w:r>
          </w:p>
        </w:tc>
      </w:tr>
    </w:tbl>
    <w:p w14:paraId="29A2F56F">
      <w:pPr>
        <w:spacing w:after="40" w:line="360" w:lineRule="auto"/>
        <w:rPr>
          <w:rFonts w:hint="eastAsia" w:ascii="微软雅黑" w:hAnsi="微软雅黑" w:eastAsia="微软雅黑" w:cs="微软雅黑"/>
        </w:rPr>
      </w:pPr>
    </w:p>
    <w:sectPr>
      <w:footerReference r:id="rId5" w:type="default"/>
      <w:pgSz w:w="12240" w:h="15840"/>
      <w:pgMar w:top="1134" w:right="1247" w:bottom="1020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F2269">
    <w:pPr>
      <w:pStyle w:val="24"/>
      <w:jc w:val="center"/>
    </w:pPr>
    <w:r>
      <w:rPr>
        <w:rFonts w:ascii="Noto Sans CJK SC" w:hAnsi="Noto Sans CJK SC" w:eastAsia="Noto Sans CJK SC"/>
        <w:color w:val="646464"/>
        <w:sz w:val="16"/>
      </w:rPr>
      <w:t>校园网络投资建设与运营合作方案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810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 CJK SC" w:hAnsi="Noto Sans CJK SC" w:eastAsia="Noto Sans CJK SC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  <w:rPr>
      <w:rFonts w:ascii="Noto Sans CJK SC" w:hAnsi="Noto Sans CJK SC" w:eastAsia="Noto Sans CJK SC"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  <w:rPr>
      <w:rFonts w:ascii="Noto Sans CJK SC" w:hAnsi="Noto Sans CJK SC" w:eastAsia="Noto Sans CJK SC"/>
    </w:r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1470</Words>
  <Characters>1499</Characters>
  <Lines>0</Lines>
  <Paragraphs>0</Paragraphs>
  <TotalTime>0</TotalTime>
  <ScaleCrop>false</ScaleCrop>
  <LinksUpToDate>false</LinksUpToDate>
  <CharactersWithSpaces>1525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itsw163com</dc:creator>
  <dc:description>generated by python-docx</dc:description>
  <cp:lastModifiedBy>itsw163com</cp:lastModifiedBy>
  <dcterms:modified xsi:type="dcterms:W3CDTF">2026-04-27T01:42:44Z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eyJoZGlkIjoiODViOTRhZjdkMWRlYWEyODJiNTJmN2QwY2EyOWE4ZGYiLCJ1c2VySWQiOiI3NTM4NDYxIn0=</vt:lpwstr>
  </property>
  <property fmtid="{D5CDD505-2E9C-101B-9397-08002B2CF9AE}" pid="3" name="KSOProductBuildVer">
    <vt:lpwstr>2052-12.1.0.25860</vt:lpwstr>
  </property>
  <property fmtid="{D5CDD505-2E9C-101B-9397-08002B2CF9AE}" pid="4" name="ICV">
    <vt:lpwstr>52C55F8EEB0048DA811EDA95883C4EC9_12</vt:lpwstr>
  </property>
</Properties>
</file>