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03D594">
      <w:pPr>
        <w:pStyle w:val="14"/>
        <w:rPr>
          <w:sz w:val="40"/>
          <w:szCs w:val="28"/>
        </w:rPr>
      </w:pPr>
      <w:r>
        <w:rPr>
          <w:sz w:val="40"/>
          <w:szCs w:val="28"/>
        </w:rPr>
        <w:t xml:space="preserve">蓝海卓越工厂宿舍 </w:t>
      </w:r>
    </w:p>
    <w:p w14:paraId="6A503241">
      <w:pPr>
        <w:pStyle w:val="14"/>
        <w:rPr>
          <w:sz w:val="40"/>
          <w:szCs w:val="28"/>
        </w:rPr>
      </w:pPr>
      <w:r>
        <w:rPr>
          <w:sz w:val="40"/>
          <w:szCs w:val="28"/>
        </w:rPr>
        <w:t>WIFI 覆盖与认证计费整体解决方案</w:t>
      </w:r>
    </w:p>
    <w:p w14:paraId="569C3F42">
      <w:pPr>
        <w:pStyle w:val="14"/>
        <w:rPr>
          <w:sz w:val="40"/>
          <w:szCs w:val="28"/>
        </w:rPr>
      </w:pPr>
    </w:p>
    <w:p w14:paraId="2E177249">
      <w:pPr>
        <w:pStyle w:val="2"/>
        <w:widowControl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市场背景</w:t>
      </w:r>
    </w:p>
    <w:p w14:paraId="6F5B3231">
      <w:pPr>
        <w:pStyle w:val="11"/>
        <w:widowControl/>
      </w:pPr>
      <w:r>
        <w:t>随着制造业转型升级与劳动力结构优化，工厂对员工后勤保障的数字化、智能化要求持续提升。宿舍作为员工休息生活的核心场景，稳定、安全、可管理的 WIFI 网络已成为工厂吸引人才、提升员工满意度的关键基础设施。当前市场中，传统宿舍网络普遍存在覆盖盲区多、接入混乱、安全隐患突出、计费管理缺失等问题：部分工厂采用无认证公共 WIFI，易引发带宽滥用、信息泄露；部分依赖简单路由组网，无法满足多终端接入需求，且缺乏灵活的计费模式适配员工差异化使用场景。</w:t>
      </w:r>
    </w:p>
    <w:p w14:paraId="687FA2A4">
      <w:pPr>
        <w:pStyle w:val="11"/>
        <w:widowControl/>
      </w:pPr>
      <w:r>
        <w:t>在此背景下，融合</w:t>
      </w:r>
      <w:r>
        <w:rPr>
          <w:b/>
        </w:rPr>
        <w:t>稳定覆盖、安全认证、精准计费、便捷管理</w:t>
      </w:r>
      <w:r>
        <w:t>的一体化网络解决方案成为市场刚需。蓝海卓越作为网络设备与计费管理领域的专业厂商，凭借 AC、AP、交换机、认证网关、计费平台的全栈产品能力，能够精准解决工厂宿舍网络的核心痛点，为工厂提供从硬件部署到软件管理的闭环服务，助力工厂后勤数字化升级。</w:t>
      </w:r>
    </w:p>
    <w:p w14:paraId="359E65CB">
      <w:pPr>
        <w:pStyle w:val="2"/>
        <w:widowControl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方案需求</w:t>
      </w:r>
    </w:p>
    <w:p w14:paraId="01F996CF">
      <w:pPr>
        <w:pStyle w:val="3"/>
        <w:widowControl/>
        <w:numPr>
          <w:ilvl w:val="0"/>
          <w:numId w:val="2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覆盖需求</w:t>
      </w:r>
    </w:p>
    <w:p w14:paraId="083DEB37">
      <w:pPr>
        <w:pStyle w:val="11"/>
        <w:widowControl/>
        <w:numPr>
          <w:ilvl w:val="0"/>
          <w:numId w:val="3"/>
        </w:numPr>
        <w:ind w:left="845" w:leftChars="0" w:hanging="425" w:firstLineChars="0"/>
        <w:rPr>
          <w:b w:val="0"/>
          <w:color w:val="auto"/>
        </w:rPr>
      </w:pPr>
      <w:r>
        <w:rPr>
          <w:color w:val="auto"/>
        </w:rPr>
        <w:t>实现宿舍区 100% 信号覆盖，无盲区、无弱信号区域，包括宿舍房间、走廊、公共活动区等所有区域；</w:t>
      </w:r>
    </w:p>
    <w:p w14:paraId="5B55059C">
      <w:pPr>
        <w:pStyle w:val="11"/>
        <w:widowControl/>
        <w:numPr>
          <w:ilvl w:val="0"/>
          <w:numId w:val="3"/>
        </w:numPr>
        <w:ind w:left="845" w:leftChars="0" w:hanging="425" w:firstLineChars="0"/>
        <w:rPr>
          <w:b w:val="0"/>
          <w:color w:val="auto"/>
        </w:rPr>
      </w:pPr>
      <w:r>
        <w:rPr>
          <w:color w:val="auto"/>
        </w:rPr>
        <w:t>单 AP 支持不少于 30 台终端同时接入，满足员工手机、电脑、平板等多设备联网需求，接入速率稳定在 100Mbps 以上；</w:t>
      </w:r>
    </w:p>
    <w:p w14:paraId="0328B8D4">
      <w:pPr>
        <w:pStyle w:val="11"/>
        <w:widowControl/>
        <w:numPr>
          <w:ilvl w:val="0"/>
          <w:numId w:val="3"/>
        </w:numPr>
        <w:ind w:left="845" w:leftChars="0" w:hanging="425" w:firstLineChars="0"/>
        <w:rPr>
          <w:b w:val="0"/>
          <w:color w:val="auto"/>
        </w:rPr>
      </w:pPr>
      <w:r>
        <w:rPr>
          <w:color w:val="auto"/>
        </w:rPr>
        <w:t>支持无缝漫游，员工在宿舍区移动时（如走廊通行、公共区活动），终端自动切换 AP，不掉线、不卡顿，保障视频通话、追剧、办公等场景的流畅体验。</w:t>
      </w:r>
    </w:p>
    <w:p w14:paraId="408E12D5">
      <w:pPr>
        <w:pStyle w:val="3"/>
        <w:widowControl/>
        <w:numPr>
          <w:ilvl w:val="0"/>
          <w:numId w:val="2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认证需求</w:t>
      </w:r>
    </w:p>
    <w:p w14:paraId="04D7D799">
      <w:pPr>
        <w:pStyle w:val="11"/>
        <w:widowControl/>
        <w:numPr>
          <w:ilvl w:val="0"/>
          <w:numId w:val="4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支持多种认证方式，包括账号密码认证、短信验证码认证、微信连 WIFI 认证、员工工号绑定认证等，适配不同员工使用习惯；</w:t>
      </w:r>
    </w:p>
    <w:p w14:paraId="07670260">
      <w:pPr>
        <w:pStyle w:val="11"/>
        <w:widowControl/>
        <w:numPr>
          <w:ilvl w:val="0"/>
          <w:numId w:val="4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认证过程简洁高效，单次认证后可实现长期免认证（支持自定义有效期），减少员工操作成本；</w:t>
      </w:r>
    </w:p>
    <w:p w14:paraId="77B5E4C0">
      <w:pPr>
        <w:pStyle w:val="11"/>
        <w:widowControl/>
        <w:numPr>
          <w:ilvl w:val="0"/>
          <w:numId w:val="4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具备接入权限管控功能，可限制非法终端接入，防范网络攻击与恶意蹭网。</w:t>
      </w:r>
    </w:p>
    <w:p w14:paraId="3B245C18">
      <w:pPr>
        <w:pStyle w:val="3"/>
        <w:widowControl/>
        <w:numPr>
          <w:ilvl w:val="0"/>
          <w:numId w:val="2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计费需求</w:t>
      </w:r>
    </w:p>
    <w:p w14:paraId="201C81D5">
      <w:pPr>
        <w:pStyle w:val="11"/>
        <w:widowControl/>
        <w:numPr>
          <w:ilvl w:val="0"/>
          <w:numId w:val="5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支持多样化计费模式，包括按时长计费（时 / 天 / 周 / 月）、按流量计费、套餐计费、免费时段计费等，满足工厂与员工的差异化需求；</w:t>
      </w:r>
    </w:p>
    <w:p w14:paraId="039EF1CA">
      <w:pPr>
        <w:pStyle w:val="11"/>
        <w:widowControl/>
        <w:numPr>
          <w:ilvl w:val="0"/>
          <w:numId w:val="5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计费平台支持</w:t>
      </w:r>
      <w:r>
        <w:rPr>
          <w:rFonts w:hint="eastAsia"/>
          <w:color w:val="auto"/>
          <w:lang w:val="en-US" w:eastAsia="zh-CN"/>
        </w:rPr>
        <w:t>管理员开户</w:t>
      </w:r>
      <w:r>
        <w:rPr>
          <w:color w:val="auto"/>
        </w:rPr>
        <w:t>、</w:t>
      </w:r>
      <w:r>
        <w:rPr>
          <w:rFonts w:hint="eastAsia"/>
          <w:color w:val="auto"/>
          <w:lang w:val="en-US" w:eastAsia="zh-CN"/>
        </w:rPr>
        <w:t>用户自注册缴费</w:t>
      </w:r>
      <w:r>
        <w:rPr>
          <w:color w:val="auto"/>
        </w:rPr>
        <w:t>模式，支持微信、支付宝等主流支付渠道，缴费流程便捷；</w:t>
      </w:r>
    </w:p>
    <w:p w14:paraId="7E108CEA">
      <w:pPr>
        <w:pStyle w:val="11"/>
        <w:widowControl/>
        <w:numPr>
          <w:ilvl w:val="0"/>
          <w:numId w:val="5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支持工厂自定义计费规则，如针对不同</w:t>
      </w:r>
      <w:r>
        <w:rPr>
          <w:rFonts w:hint="eastAsia"/>
          <w:color w:val="auto"/>
          <w:lang w:val="en-US" w:eastAsia="zh-CN"/>
        </w:rPr>
        <w:t>区域</w:t>
      </w:r>
      <w:r>
        <w:rPr>
          <w:color w:val="auto"/>
        </w:rPr>
        <w:t>、不同</w:t>
      </w:r>
      <w:r>
        <w:rPr>
          <w:rFonts w:hint="eastAsia"/>
          <w:color w:val="auto"/>
          <w:lang w:val="en-US" w:eastAsia="zh-CN"/>
        </w:rPr>
        <w:t>位置</w:t>
      </w:r>
      <w:r>
        <w:rPr>
          <w:color w:val="auto"/>
        </w:rPr>
        <w:t>设置差异化套餐价格，支持批量开户、续费、销户等管理操作；</w:t>
      </w:r>
    </w:p>
    <w:p w14:paraId="7EB5B023">
      <w:pPr>
        <w:pStyle w:val="11"/>
        <w:widowControl/>
        <w:numPr>
          <w:ilvl w:val="0"/>
          <w:numId w:val="5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具备详细的账单统计功能，员工可查询消费明细，</w:t>
      </w:r>
      <w:r>
        <w:rPr>
          <w:rFonts w:hint="eastAsia"/>
          <w:color w:val="auto"/>
          <w:lang w:val="en-US" w:eastAsia="zh-CN"/>
        </w:rPr>
        <w:t>管理方</w:t>
      </w:r>
      <w:r>
        <w:rPr>
          <w:color w:val="auto"/>
        </w:rPr>
        <w:t>可导出计费数据进行财务核算。</w:t>
      </w:r>
    </w:p>
    <w:p w14:paraId="1AD4B1A2">
      <w:pPr>
        <w:pStyle w:val="3"/>
        <w:widowControl/>
        <w:numPr>
          <w:ilvl w:val="0"/>
          <w:numId w:val="2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管理与运维需求</w:t>
      </w:r>
    </w:p>
    <w:p w14:paraId="284CC7F6">
      <w:pPr>
        <w:pStyle w:val="11"/>
        <w:widowControl/>
        <w:numPr>
          <w:ilvl w:val="0"/>
          <w:numId w:val="6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提供统一管理平台，支持对 AC、AP、交换机、认证网关等设备进行集中监控、配置与维护，实时查看设备运行状态、接入终端数量、带宽使用情况；</w:t>
      </w:r>
    </w:p>
    <w:p w14:paraId="2D7F4DD1">
      <w:pPr>
        <w:pStyle w:val="11"/>
        <w:widowControl/>
        <w:numPr>
          <w:ilvl w:val="0"/>
          <w:numId w:val="6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支持远程运维，可远程排查设备故障、升级固件，减少现场运维工作量；</w:t>
      </w:r>
    </w:p>
    <w:p w14:paraId="004E61EF">
      <w:pPr>
        <w:pStyle w:val="11"/>
        <w:widowControl/>
        <w:numPr>
          <w:ilvl w:val="0"/>
          <w:numId w:val="6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具备日志审计功能，记录设备操作日志、认证日志、计费日志等，便于追溯与合规检查；</w:t>
      </w:r>
    </w:p>
    <w:p w14:paraId="6CDA9FFD">
      <w:pPr>
        <w:pStyle w:val="11"/>
        <w:widowControl/>
        <w:numPr>
          <w:ilvl w:val="0"/>
          <w:numId w:val="6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网络具备弹性扩展能力，可根据工厂宿舍数量、员工规模的增长，灵活增加 AP、交换机等设备，无需重构网络架构。</w:t>
      </w:r>
    </w:p>
    <w:p w14:paraId="0A328E10">
      <w:pPr>
        <w:pStyle w:val="3"/>
        <w:widowControl/>
        <w:numPr>
          <w:ilvl w:val="0"/>
          <w:numId w:val="2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安全需求</w:t>
      </w:r>
    </w:p>
    <w:p w14:paraId="5EEF790A">
      <w:pPr>
        <w:pStyle w:val="11"/>
        <w:widowControl/>
        <w:numPr>
          <w:ilvl w:val="0"/>
          <w:numId w:val="7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支持 WPA2/WPA3 加密协议，保障无线信号传输安全，防止数据泄露；</w:t>
      </w:r>
    </w:p>
    <w:p w14:paraId="04C8E673">
      <w:pPr>
        <w:pStyle w:val="11"/>
        <w:widowControl/>
        <w:numPr>
          <w:ilvl w:val="0"/>
          <w:numId w:val="7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具备带宽限速功能，可限制单终端最大带宽，避免个别用户滥用带宽影响整体网络体验；</w:t>
      </w:r>
    </w:p>
    <w:p w14:paraId="77B9CD73">
      <w:pPr>
        <w:pStyle w:val="11"/>
        <w:widowControl/>
        <w:numPr>
          <w:ilvl w:val="0"/>
          <w:numId w:val="7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支持恶意网址过滤、DDoS 攻击防护等功能，保障网络整体安全稳定运行；</w:t>
      </w:r>
    </w:p>
    <w:p w14:paraId="33C17B7B">
      <w:pPr>
        <w:pStyle w:val="11"/>
        <w:widowControl/>
        <w:numPr>
          <w:ilvl w:val="0"/>
          <w:numId w:val="7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用户数据加密存储，严格保护员工个人信息与支付信息安全。</w:t>
      </w:r>
    </w:p>
    <w:p w14:paraId="0879B520">
      <w:pPr>
        <w:pStyle w:val="2"/>
        <w:widowControl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网络拓扑</w:t>
      </w:r>
    </w:p>
    <w:p w14:paraId="0DCE2D9F">
      <w:pPr>
        <w:pStyle w:val="3"/>
        <w:widowControl/>
        <w:numPr>
          <w:ilvl w:val="0"/>
          <w:numId w:val="8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拓扑架构设计</w:t>
      </w:r>
    </w:p>
    <w:p w14:paraId="562A611C">
      <w:pPr>
        <w:pStyle w:val="11"/>
        <w:widowControl/>
      </w:pPr>
      <w:r>
        <w:t>本方案采用 “核心层 - 接入层 - 终端层” 三层网络架构，结合蓝海卓越全系列产品实现端到端的覆盖与管理：</w:t>
      </w:r>
    </w:p>
    <w:p w14:paraId="38F93CE9">
      <w:pPr>
        <w:pStyle w:val="11"/>
        <w:widowControl/>
        <w:numPr>
          <w:ilvl w:val="0"/>
          <w:numId w:val="9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核心层：部署蓝海卓越高性能核心交换机与认证网关，作为网络数据转发与认证计费的核心节点。核心交换机提供高速数据交换能力，支持万兆上行接口，满足宿舍区大量终端并发接入的带宽需求；认证网关集成认证、计费、安全管控功能，实现对所有接入终端的身份验证与流量管理。</w:t>
      </w:r>
    </w:p>
    <w:p w14:paraId="0A12250B">
      <w:pPr>
        <w:pStyle w:val="11"/>
        <w:widowControl/>
        <w:numPr>
          <w:ilvl w:val="0"/>
          <w:numId w:val="9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接入层：部署蓝海卓越千兆 POE 交换机与无线 AP，POE 交换机通过网线为 AP 提供供电与数据传输（即 “一线通”），减少布线成本；根据宿舍区户型、面积，在每栋楼、每层楼合理部署吸顶式 AP 或面板式 AP，确保信号全覆盖。</w:t>
      </w:r>
    </w:p>
    <w:p w14:paraId="4AE56520">
      <w:pPr>
        <w:pStyle w:val="11"/>
        <w:widowControl/>
        <w:numPr>
          <w:ilvl w:val="0"/>
          <w:numId w:val="9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终端层：员工手机、电脑、平板等终端通过 WIFI 连接至 AP，经 POE 交换机、核心交换机转发数据，通过认证网关完成认证与计费后，接入互联网或工厂内部网络。</w:t>
      </w:r>
    </w:p>
    <w:p w14:paraId="0E99838D">
      <w:pPr>
        <w:pStyle w:val="11"/>
        <w:widowControl/>
        <w:numPr>
          <w:ilvl w:val="0"/>
          <w:numId w:val="9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管理与计费层：部署蓝海卓越 AC 控制器与统一计费管理平台，AC 控制器实现对所有 AP 的集中管控与漫游管理，计费平台与认证网关联动，完成用户计费、支付、账单管理等功能。</w:t>
      </w:r>
    </w:p>
    <w:p w14:paraId="689F76A0">
      <w:pPr>
        <w:pStyle w:val="3"/>
        <w:widowControl/>
        <w:numPr>
          <w:ilvl w:val="0"/>
          <w:numId w:val="8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拓扑图说明</w:t>
      </w:r>
    </w:p>
    <w:p w14:paraId="57E58732">
      <w:pPr>
        <w:pStyle w:val="21"/>
      </w:pPr>
    </w:p>
    <w:p w14:paraId="1E2DCADE">
      <w:pPr>
        <w:pStyle w:val="21"/>
      </w:pPr>
      <w:r>
        <w:object>
          <v:shape id="_x0000_i1025" o:spt="75" type="#_x0000_t75" style="height:211.95pt;width:450.5pt;" o:ole="t" filled="f" o:preferrelative="t" stroked="t" coordsize="21600,21600">
            <v:path/>
            <v:fill on="f" focussize="0,0"/>
            <v:stroke color="#F2F2F2"/>
            <v:imagedata r:id="rId5" o:title=""/>
            <o:lock v:ext="edit" aspectratio="f"/>
            <w10:wrap type="none"/>
            <w10:anchorlock/>
          </v:shape>
          <o:OLEObject Type="Embed" ProgID="Visio.Drawing.15" ShapeID="_x0000_i1025" DrawAspect="Content" ObjectID="_1468075725" r:id="rId4">
            <o:LockedField>false</o:LockedField>
          </o:OLEObject>
        </w:object>
      </w:r>
    </w:p>
    <w:p w14:paraId="6AED5C61">
      <w:pPr>
        <w:pStyle w:val="11"/>
        <w:widowControl/>
        <w:numPr>
          <w:ilvl w:val="0"/>
          <w:numId w:val="10"/>
        </w:numPr>
        <w:ind w:left="420" w:leftChars="0" w:hanging="420" w:firstLineChars="0"/>
        <w:rPr>
          <w:rFonts w:hint="eastAsia" w:ascii="宋体" w:hAnsi="宋体" w:eastAsia="宋体" w:cs="宋体"/>
          <w:b w:val="0"/>
          <w:color w:val="auto"/>
        </w:rPr>
      </w:pPr>
      <w:r>
        <w:rPr>
          <w:color w:val="auto"/>
        </w:rPr>
        <w:t>认证网关：负责用户认证、流量控制、安全防护，与计费平台实时联动，传递认证状态与计费数据；</w:t>
      </w:r>
    </w:p>
    <w:p w14:paraId="3736B824">
      <w:pPr>
        <w:pStyle w:val="11"/>
        <w:widowControl/>
        <w:numPr>
          <w:ilvl w:val="0"/>
          <w:numId w:val="10"/>
        </w:numPr>
        <w:ind w:left="420" w:leftChars="0" w:hanging="420" w:firstLineChars="0"/>
        <w:rPr>
          <w:rFonts w:hint="eastAsia" w:ascii="宋体" w:hAnsi="宋体" w:eastAsia="宋体" w:cs="宋体"/>
          <w:b w:val="0"/>
          <w:color w:val="auto"/>
        </w:rPr>
      </w:pPr>
      <w:r>
        <w:rPr>
          <w:color w:val="auto"/>
        </w:rPr>
        <w:t>核心交换机：连接认证网关与 POE 交换机，提供高速数据转发，保障网络骨干链路稳定；</w:t>
      </w:r>
    </w:p>
    <w:p w14:paraId="717BC5FA">
      <w:pPr>
        <w:pStyle w:val="11"/>
        <w:widowControl/>
        <w:numPr>
          <w:ilvl w:val="0"/>
          <w:numId w:val="10"/>
        </w:numPr>
        <w:ind w:left="420" w:leftChars="0" w:hanging="420" w:firstLineChars="0"/>
        <w:rPr>
          <w:b w:val="0"/>
          <w:color w:val="auto"/>
        </w:rPr>
      </w:pPr>
      <w:r>
        <w:rPr>
          <w:color w:val="auto"/>
        </w:rPr>
        <w:t>POE 交换机：部署在每层宿舍楼道，为 AP 提供 POE 供电与千兆数据接入，支持端口隔离，提升网络安全性；</w:t>
      </w:r>
    </w:p>
    <w:p w14:paraId="18FDF636">
      <w:pPr>
        <w:pStyle w:val="11"/>
        <w:widowControl/>
        <w:numPr>
          <w:ilvl w:val="0"/>
          <w:numId w:val="10"/>
        </w:numPr>
        <w:ind w:left="420" w:leftChars="0" w:hanging="420" w:firstLineChars="0"/>
        <w:rPr>
          <w:b w:val="0"/>
          <w:color w:val="auto"/>
        </w:rPr>
      </w:pPr>
      <w:r>
        <w:rPr>
          <w:color w:val="auto"/>
        </w:rPr>
        <w:t>AP：根据宿舍密度部署，吸顶式 AP 适用于大面积公共区域或走廊，面板式 AP 适用于单个宿舍房间，确保信号穿透性与覆盖效果；</w:t>
      </w:r>
    </w:p>
    <w:p w14:paraId="65E5AA0B">
      <w:pPr>
        <w:pStyle w:val="11"/>
        <w:widowControl/>
        <w:numPr>
          <w:ilvl w:val="0"/>
          <w:numId w:val="10"/>
        </w:numPr>
        <w:ind w:left="420" w:leftChars="0" w:hanging="420" w:firstLineChars="0"/>
        <w:rPr>
          <w:color w:val="auto"/>
        </w:rPr>
      </w:pPr>
      <w:r>
        <w:rPr>
          <w:color w:val="auto"/>
        </w:rPr>
        <w:t>AC 控制器：统一管理所有 AP，配置 WIFI 名称（SSID）、加密方式、漫游策略等，实时监控 AP 运行状态；</w:t>
      </w:r>
    </w:p>
    <w:p w14:paraId="4C34B3BE">
      <w:pPr>
        <w:pStyle w:val="11"/>
        <w:widowControl/>
        <w:numPr>
          <w:ilvl w:val="0"/>
          <w:numId w:val="10"/>
        </w:numPr>
        <w:ind w:left="420" w:leftChars="0" w:hanging="420" w:firstLineChars="0"/>
        <w:rPr>
          <w:color w:val="auto"/>
        </w:rPr>
      </w:pPr>
      <w:r>
        <w:rPr>
          <w:rFonts w:hint="eastAsia"/>
          <w:color w:val="auto"/>
          <w:lang w:val="en-US" w:eastAsia="zh-CN"/>
        </w:rPr>
        <w:t>云AC平台：</w:t>
      </w:r>
      <w:r>
        <w:rPr>
          <w:color w:val="auto"/>
        </w:rPr>
        <w:t>统一管理所有 AP，配置 WIFI 名称（SSID）、加密方式、漫游策略等，实时监控 AP 运行状态</w:t>
      </w:r>
      <w:r>
        <w:rPr>
          <w:rFonts w:hint="eastAsia"/>
          <w:color w:val="auto"/>
          <w:lang w:eastAsia="zh-CN"/>
        </w:rPr>
        <w:t>，</w:t>
      </w:r>
      <w:r>
        <w:rPr>
          <w:rFonts w:hint="eastAsia"/>
          <w:color w:val="auto"/>
          <w:lang w:val="en-US" w:eastAsia="zh-CN"/>
        </w:rPr>
        <w:t>好处是可以统一管理所有项目的AP设备。和本地AC控制器二选一即可</w:t>
      </w:r>
      <w:r>
        <w:rPr>
          <w:color w:val="auto"/>
        </w:rPr>
        <w:t>；</w:t>
      </w:r>
    </w:p>
    <w:p w14:paraId="778F8B66">
      <w:pPr>
        <w:pStyle w:val="11"/>
        <w:widowControl/>
        <w:numPr>
          <w:ilvl w:val="0"/>
          <w:numId w:val="10"/>
        </w:numPr>
        <w:ind w:left="420" w:leftChars="0" w:hanging="420" w:firstLineChars="0"/>
        <w:rPr>
          <w:rFonts w:hint="eastAsia" w:ascii="宋体" w:hAnsi="宋体" w:eastAsia="宋体" w:cs="宋体"/>
          <w:b w:val="0"/>
          <w:color w:val="auto"/>
        </w:rPr>
      </w:pPr>
      <w:r>
        <w:rPr>
          <w:color w:val="auto"/>
        </w:rPr>
        <w:t>计费管理平台：提供用户开户、套餐管理、支付缴费、账单查询、数据统计等功能，支持电脑端与手机端访问。</w:t>
      </w:r>
    </w:p>
    <w:p w14:paraId="60BA2D82">
      <w:pPr>
        <w:pStyle w:val="2"/>
        <w:widowControl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计费流程</w:t>
      </w:r>
    </w:p>
    <w:p w14:paraId="33CC47F6">
      <w:pPr>
        <w:pStyle w:val="11"/>
        <w:widowControl/>
      </w:pPr>
      <w:r>
        <w:t>本方案的计费流程基于蓝海卓越认证网关与计费管理平台的联动，实现 “认证 - 计费 - 缴费 - 使用” 的闭环管理，具体流程如下：</w:t>
      </w:r>
    </w:p>
    <w:p w14:paraId="67743A3B">
      <w:pPr>
        <w:pStyle w:val="3"/>
        <w:widowControl/>
        <w:numPr>
          <w:ilvl w:val="0"/>
          <w:numId w:val="1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rPr>
          <w:rFonts w:hint="eastAsia"/>
          <w:lang w:val="en-US" w:eastAsia="zh-CN"/>
        </w:rPr>
        <w:t>内部员工</w:t>
      </w:r>
      <w:r>
        <w:t>开户</w:t>
      </w:r>
    </w:p>
    <w:p w14:paraId="1DD88BDD">
      <w:pPr>
        <w:pStyle w:val="11"/>
        <w:widowControl/>
        <w:numPr>
          <w:ilvl w:val="0"/>
          <w:numId w:val="12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工厂管理员通过计费管理平台批量导入员工信息（如工号、姓名、部门等），为每位员工创建初始账号（账号默认工号，密码可自定义或统一设置）；</w:t>
      </w:r>
    </w:p>
    <w:p w14:paraId="0998CAF4">
      <w:pPr>
        <w:pStyle w:val="11"/>
        <w:widowControl/>
        <w:numPr>
          <w:ilvl w:val="0"/>
          <w:numId w:val="12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员工收到账号信息后，可通过手机端或电脑端登录计费平台，修改初始密码，完善个人信息（如绑定手机号等）。</w:t>
      </w:r>
    </w:p>
    <w:p w14:paraId="24C07CB6">
      <w:pPr>
        <w:pStyle w:val="3"/>
        <w:widowControl/>
        <w:numPr>
          <w:ilvl w:val="0"/>
          <w:numId w:val="1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rPr>
          <w:rFonts w:hint="eastAsia"/>
          <w:lang w:val="en-US" w:eastAsia="zh-CN"/>
        </w:rPr>
        <w:t>宿舍员工</w:t>
      </w:r>
      <w:r>
        <w:t>认证接入</w:t>
      </w:r>
    </w:p>
    <w:p w14:paraId="7DCCA36A">
      <w:pPr>
        <w:pStyle w:val="11"/>
        <w:widowControl/>
        <w:numPr>
          <w:ilvl w:val="0"/>
          <w:numId w:val="13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员工终端搜索到蓝海卓越 AP 广播的 SSID，输入 WIFI 密码（统一设置）后发起连接请求；</w:t>
      </w:r>
    </w:p>
    <w:p w14:paraId="7F7F9B53">
      <w:pPr>
        <w:pStyle w:val="11"/>
        <w:widowControl/>
        <w:numPr>
          <w:ilvl w:val="0"/>
          <w:numId w:val="13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终端自动跳转到</w:t>
      </w:r>
      <w:r>
        <w:rPr>
          <w:rFonts w:hint="eastAsia"/>
          <w:color w:val="auto"/>
          <w:lang w:val="en-US" w:eastAsia="zh-CN"/>
        </w:rPr>
        <w:t>PORTAL</w:t>
      </w:r>
      <w:r>
        <w:rPr>
          <w:color w:val="auto"/>
        </w:rPr>
        <w:t>认证页面，员工</w:t>
      </w:r>
      <w:r>
        <w:rPr>
          <w:rFonts w:hint="eastAsia"/>
          <w:color w:val="auto"/>
          <w:lang w:val="en-US" w:eastAsia="zh-CN"/>
        </w:rPr>
        <w:t>选择新用户注册，通过手机号获取验证码后，注册用户；</w:t>
      </w:r>
    </w:p>
    <w:p w14:paraId="2E9DDFAC">
      <w:pPr>
        <w:pStyle w:val="11"/>
        <w:widowControl/>
        <w:numPr>
          <w:ilvl w:val="0"/>
          <w:numId w:val="13"/>
        </w:numPr>
        <w:ind w:left="845" w:leftChars="0" w:hanging="425" w:firstLineChars="0"/>
        <w:rPr>
          <w:color w:val="auto"/>
        </w:rPr>
      </w:pPr>
      <w:r>
        <w:rPr>
          <w:rFonts w:hint="eastAsia"/>
          <w:color w:val="auto"/>
          <w:lang w:val="en-US" w:eastAsia="zh-CN"/>
        </w:rPr>
        <w:t>注册成功，自动跳转到用户交费界面，员工选择套餐后，选择支付宝或微信交费；</w:t>
      </w:r>
    </w:p>
    <w:p w14:paraId="6531F796">
      <w:pPr>
        <w:pStyle w:val="11"/>
        <w:widowControl/>
        <w:numPr>
          <w:ilvl w:val="0"/>
          <w:numId w:val="13"/>
        </w:numPr>
        <w:ind w:left="845" w:leftChars="0" w:hanging="425" w:firstLineChars="0"/>
        <w:rPr>
          <w:color w:val="auto"/>
        </w:rPr>
      </w:pPr>
      <w:r>
        <w:rPr>
          <w:rFonts w:hint="eastAsia"/>
          <w:color w:val="auto"/>
          <w:lang w:val="en-US" w:eastAsia="zh-CN"/>
        </w:rPr>
        <w:t>交费成功，系统自动</w:t>
      </w:r>
      <w:r>
        <w:rPr>
          <w:color w:val="auto"/>
        </w:rPr>
        <w:t>提交认证请求；</w:t>
      </w:r>
    </w:p>
    <w:p w14:paraId="20FC3868">
      <w:pPr>
        <w:pStyle w:val="11"/>
        <w:widowControl/>
        <w:numPr>
          <w:ilvl w:val="0"/>
          <w:numId w:val="13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认证网关接收认证请求，与计费管理平台校验用户身份与套餐状态：</w:t>
      </w:r>
    </w:p>
    <w:p w14:paraId="70A80AAA">
      <w:pPr>
        <w:pStyle w:val="11"/>
        <w:widowControl/>
        <w:numPr>
          <w:ilvl w:val="0"/>
          <w:numId w:val="14"/>
        </w:numPr>
        <w:ind w:left="1260" w:leftChars="0" w:hanging="420" w:firstLineChars="0"/>
        <w:rPr>
          <w:rFonts w:hint="eastAsia" w:ascii="宋体" w:hAnsi="宋体" w:eastAsia="宋体" w:cs="宋体"/>
          <w:b w:val="0"/>
          <w:color w:val="auto"/>
        </w:rPr>
      </w:pPr>
      <w:r>
        <w:rPr>
          <w:color w:val="auto"/>
        </w:rPr>
        <w:t>若用户未购买套餐，提示跳转至套餐购买页面；</w:t>
      </w:r>
    </w:p>
    <w:p w14:paraId="43CBA69D">
      <w:pPr>
        <w:pStyle w:val="11"/>
        <w:widowControl/>
        <w:numPr>
          <w:ilvl w:val="0"/>
          <w:numId w:val="14"/>
        </w:numPr>
        <w:ind w:left="1260" w:leftChars="0" w:hanging="420" w:firstLineChars="0"/>
        <w:rPr>
          <w:rFonts w:hint="eastAsia" w:ascii="宋体" w:hAnsi="宋体" w:eastAsia="宋体" w:cs="宋体"/>
          <w:b w:val="0"/>
          <w:color w:val="auto"/>
        </w:rPr>
      </w:pPr>
      <w:r>
        <w:rPr>
          <w:color w:val="auto"/>
        </w:rPr>
        <w:t>若用户已购买套餐且在有效期内，认证通过，终端成功接入网络。</w:t>
      </w:r>
    </w:p>
    <w:p w14:paraId="7CE128BB">
      <w:pPr>
        <w:pStyle w:val="3"/>
        <w:widowControl/>
        <w:numPr>
          <w:ilvl w:val="0"/>
          <w:numId w:val="11"/>
        </w:numPr>
        <w:topLinePunct w:val="0"/>
        <w:ind w:left="0" w:leftChars="0" w:firstLine="0" w:firstLineChars="0"/>
        <w:rPr>
          <w:rFonts w:hint="eastAsia"/>
          <w:lang w:val="en-US" w:eastAsia="zh-CN"/>
        </w:rPr>
      </w:pPr>
      <w:bookmarkStart w:id="0" w:name="_Toc20540"/>
      <w:r>
        <w:rPr>
          <w:rFonts w:hint="eastAsia"/>
          <w:lang w:val="en-US" w:eastAsia="zh-CN"/>
        </w:rPr>
        <w:t>自注册示意图</w:t>
      </w:r>
      <w:bookmarkEnd w:id="0"/>
    </w:p>
    <w:p w14:paraId="701DBC16">
      <w:pPr>
        <w:pStyle w:val="3"/>
        <w:widowControl/>
        <w:numPr>
          <w:numId w:val="0"/>
        </w:numPr>
        <w:topLinePunct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447165" cy="2580640"/>
            <wp:effectExtent l="28575" t="28575" r="33020" b="42545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47165" cy="258064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  <w:lang w:val="en-US" w:eastAsia="zh-CN"/>
        </w:rPr>
        <w:drawing>
          <wp:inline distT="0" distB="0" distL="114300" distR="114300">
            <wp:extent cx="1466215" cy="2578100"/>
            <wp:effectExtent l="28575" t="28575" r="29210" b="29845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66215" cy="25781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  <w:lang w:val="en-US" w:eastAsia="zh-CN"/>
        </w:rPr>
        <w:drawing>
          <wp:inline distT="0" distB="0" distL="114300" distR="114300">
            <wp:extent cx="1464310" cy="2577465"/>
            <wp:effectExtent l="28575" t="28575" r="31115" b="30480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64310" cy="257746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52C2853">
      <w:pPr>
        <w:pStyle w:val="11"/>
        <w:widowControl/>
        <w:numPr>
          <w:numId w:val="0"/>
        </w:numPr>
        <w:rPr>
          <w:rFonts w:hint="eastAsia" w:ascii="宋体" w:hAnsi="宋体" w:eastAsia="宋体" w:cs="宋体"/>
          <w:b w:val="0"/>
          <w:color w:val="auto"/>
        </w:rPr>
      </w:pPr>
    </w:p>
    <w:p w14:paraId="590A0BE4">
      <w:pPr>
        <w:pStyle w:val="3"/>
        <w:widowControl/>
        <w:numPr>
          <w:ilvl w:val="0"/>
          <w:numId w:val="1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计费执行</w:t>
      </w:r>
    </w:p>
    <w:p w14:paraId="180AAE9F">
      <w:pPr>
        <w:pStyle w:val="11"/>
        <w:widowControl/>
        <w:numPr>
          <w:ilvl w:val="0"/>
          <w:numId w:val="15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认证通过后，认证网关实时统计用户的上网时长或流量，生成计费数据并同步至计费管理平台；</w:t>
      </w:r>
    </w:p>
    <w:p w14:paraId="597C788C">
      <w:pPr>
        <w:pStyle w:val="11"/>
        <w:widowControl/>
        <w:numPr>
          <w:ilvl w:val="0"/>
          <w:numId w:val="15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计费管理平台根据用户选择的计费模式（按时长 / 流量 / 套餐），自动扣除相应费用或时长 / 流量：</w:t>
      </w:r>
    </w:p>
    <w:p w14:paraId="072513D7">
      <w:pPr>
        <w:pStyle w:val="11"/>
        <w:widowControl/>
        <w:numPr>
          <w:ilvl w:val="0"/>
          <w:numId w:val="16"/>
        </w:numPr>
        <w:ind w:left="1260" w:leftChars="0" w:hanging="420" w:firstLineChars="0"/>
        <w:rPr>
          <w:rFonts w:hint="eastAsia" w:ascii="宋体" w:hAnsi="宋体" w:eastAsia="宋体" w:cs="宋体"/>
          <w:b w:val="0"/>
          <w:color w:val="auto"/>
        </w:rPr>
      </w:pPr>
      <w:r>
        <w:rPr>
          <w:color w:val="auto"/>
        </w:rPr>
        <w:t>按时长计费：按实际上网时长扣除套餐时长，时长用尽后自动断网，需续费后才能继续使用；</w:t>
      </w:r>
    </w:p>
    <w:p w14:paraId="5802C276">
      <w:pPr>
        <w:pStyle w:val="11"/>
        <w:widowControl/>
        <w:numPr>
          <w:ilvl w:val="0"/>
          <w:numId w:val="16"/>
        </w:numPr>
        <w:ind w:left="1260" w:leftChars="0" w:hanging="420" w:firstLineChars="0"/>
        <w:rPr>
          <w:rFonts w:hint="eastAsia" w:ascii="宋体" w:hAnsi="宋体" w:eastAsia="宋体" w:cs="宋体"/>
          <w:b w:val="0"/>
          <w:color w:val="auto"/>
        </w:rPr>
      </w:pPr>
      <w:r>
        <w:rPr>
          <w:color w:val="auto"/>
        </w:rPr>
        <w:t>按流量计费：按实际使用流量扣除套餐流量，流量用尽后可选择叠加流量包或断网；</w:t>
      </w:r>
    </w:p>
    <w:p w14:paraId="55E8B144">
      <w:pPr>
        <w:pStyle w:val="11"/>
        <w:widowControl/>
        <w:numPr>
          <w:ilvl w:val="0"/>
          <w:numId w:val="16"/>
        </w:numPr>
        <w:ind w:left="1260" w:leftChars="0" w:hanging="420" w:firstLineChars="0"/>
        <w:rPr>
          <w:rFonts w:hint="eastAsia" w:ascii="宋体" w:hAnsi="宋体" w:eastAsia="宋体" w:cs="宋体"/>
          <w:b w:val="0"/>
          <w:color w:val="auto"/>
        </w:rPr>
      </w:pPr>
      <w:r>
        <w:rPr>
          <w:color w:val="auto"/>
        </w:rPr>
        <w:t>套餐计费：在套餐有效期内，用户可不限时长 / 流量使用（或限制最大带宽），套餐到期后自动提醒续费。</w:t>
      </w:r>
    </w:p>
    <w:p w14:paraId="21C2B1B6">
      <w:pPr>
        <w:pStyle w:val="3"/>
        <w:widowControl/>
        <w:numPr>
          <w:ilvl w:val="0"/>
          <w:numId w:val="1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缴费流程</w:t>
      </w:r>
    </w:p>
    <w:p w14:paraId="54DE2BD9">
      <w:pPr>
        <w:pStyle w:val="11"/>
        <w:widowControl/>
        <w:numPr>
          <w:ilvl w:val="0"/>
          <w:numId w:val="17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当用户套餐即将到期或费用 / 时长 / 流量不足时，计费平台通过短信、微信通知等方式提醒用户续费；</w:t>
      </w:r>
    </w:p>
    <w:p w14:paraId="6850BFA8">
      <w:pPr>
        <w:pStyle w:val="11"/>
        <w:widowControl/>
        <w:numPr>
          <w:ilvl w:val="0"/>
          <w:numId w:val="17"/>
        </w:numPr>
        <w:ind w:left="845" w:leftChars="0" w:hanging="425" w:firstLineChars="0"/>
        <w:rPr>
          <w:color w:val="auto"/>
        </w:rPr>
      </w:pPr>
      <w:r>
        <w:rPr>
          <w:rFonts w:hint="eastAsia"/>
          <w:color w:val="auto"/>
          <w:lang w:val="en-US" w:eastAsia="zh-CN"/>
        </w:rPr>
        <w:t>如果用户不登录，则在连接WIFI后，会自动弹出认证，提示用户需要充值缴费；</w:t>
      </w:r>
    </w:p>
    <w:p w14:paraId="4883A2E9">
      <w:pPr>
        <w:pStyle w:val="11"/>
        <w:widowControl/>
        <w:numPr>
          <w:ilvl w:val="0"/>
          <w:numId w:val="17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用户登录计费平台（手机端 / 电脑端），选择所需套餐，通过微信、支付宝完成在线支付；</w:t>
      </w:r>
    </w:p>
    <w:p w14:paraId="664D5E2F">
      <w:pPr>
        <w:pStyle w:val="11"/>
        <w:widowControl/>
        <w:numPr>
          <w:ilvl w:val="0"/>
          <w:numId w:val="17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支付成功后，计费平台实时更新用户套餐状态，同步至认证网关，用户可继续正常上网。</w:t>
      </w:r>
    </w:p>
    <w:p w14:paraId="1EE249CC">
      <w:pPr>
        <w:pStyle w:val="3"/>
        <w:widowControl/>
        <w:numPr>
          <w:ilvl w:val="0"/>
          <w:numId w:val="1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账单查询与统计</w:t>
      </w:r>
    </w:p>
    <w:p w14:paraId="48782352">
      <w:pPr>
        <w:pStyle w:val="11"/>
        <w:widowControl/>
        <w:numPr>
          <w:ilvl w:val="0"/>
          <w:numId w:val="18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员工可通过计费平台查询个人消费明细，包括套餐购买记录、费用扣除记录、剩余时长 / 流量等；</w:t>
      </w:r>
    </w:p>
    <w:p w14:paraId="2780270E">
      <w:pPr>
        <w:pStyle w:val="11"/>
        <w:widowControl/>
        <w:numPr>
          <w:ilvl w:val="0"/>
          <w:numId w:val="18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工厂管理员可通过计费平台导出整体计费数据，包括总营收、套餐销售统计、用户消费排行等，用于财务核算与运营分析。</w:t>
      </w:r>
    </w:p>
    <w:p w14:paraId="653C71CE">
      <w:pPr>
        <w:pStyle w:val="2"/>
        <w:widowControl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方案特点</w:t>
      </w:r>
    </w:p>
    <w:p w14:paraId="1A48A8AD">
      <w:pPr>
        <w:pStyle w:val="3"/>
        <w:widowControl/>
        <w:numPr>
          <w:ilvl w:val="0"/>
          <w:numId w:val="19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全栈产品整合，兼容性强</w:t>
      </w:r>
    </w:p>
    <w:p w14:paraId="57C8211B">
      <w:pPr>
        <w:pStyle w:val="11"/>
        <w:widowControl/>
      </w:pPr>
      <w:r>
        <w:t>本方案采用蓝海卓越自主研发的 AC、AP、交换机、认证网关、计费平台，所有产品均经过深度适配与兼容性测试，确保设备间联动顺畅，避免不同品牌产品搭配出现的兼容性问题。从硬件部署到软件管理，提供一站式解决方案，减少工厂选型与集成成本。</w:t>
      </w:r>
    </w:p>
    <w:p w14:paraId="1C0A2DA7">
      <w:pPr>
        <w:pStyle w:val="3"/>
        <w:widowControl/>
        <w:numPr>
          <w:ilvl w:val="0"/>
          <w:numId w:val="19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覆盖稳定可靠，体验优异</w:t>
      </w:r>
    </w:p>
    <w:p w14:paraId="3DC94E2A">
      <w:pPr>
        <w:pStyle w:val="11"/>
        <w:widowControl/>
        <w:numPr>
          <w:ilvl w:val="0"/>
          <w:numId w:val="20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蓝海卓越 AP 支持 802.11a</w:t>
      </w:r>
      <w:r>
        <w:rPr>
          <w:rFonts w:hint="eastAsia"/>
          <w:color w:val="auto"/>
          <w:lang w:val="en-US" w:eastAsia="zh-CN"/>
        </w:rPr>
        <w:t>c/</w:t>
      </w:r>
      <w:r>
        <w:rPr>
          <w:color w:val="auto"/>
        </w:rPr>
        <w:t>802.11ax技术，单 AP 并发接入能力强，传输速率高，延迟低，满足多终端同时在线与高清视频、游戏等高速上网需求；</w:t>
      </w:r>
    </w:p>
    <w:p w14:paraId="0BB1C6EF">
      <w:pPr>
        <w:pStyle w:val="11"/>
        <w:widowControl/>
        <w:numPr>
          <w:ilvl w:val="0"/>
          <w:numId w:val="20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采用智能负载均衡与无缝漫游技术，当某一 AP 接入终端过多时，自动将新终端分配至负载较低的 AP，员工移动时终端快速切换 AP，不掉线、不卡顿；</w:t>
      </w:r>
    </w:p>
    <w:p w14:paraId="1E818419">
      <w:pPr>
        <w:pStyle w:val="11"/>
        <w:widowControl/>
        <w:numPr>
          <w:ilvl w:val="0"/>
          <w:numId w:val="20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POE 交换机支持 IEEE 802.3af 标准，为 AP 提供稳定供电，保障设备 24 小时不间断运行，同时支持端口防雷、过流保护，适应工厂宿舍复杂的用电环境。</w:t>
      </w:r>
    </w:p>
    <w:p w14:paraId="2E3C252A">
      <w:pPr>
        <w:pStyle w:val="3"/>
        <w:widowControl/>
        <w:numPr>
          <w:ilvl w:val="0"/>
          <w:numId w:val="19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认证安全灵活，管控高效</w:t>
      </w:r>
    </w:p>
    <w:p w14:paraId="4E3B9A6B">
      <w:pPr>
        <w:pStyle w:val="11"/>
        <w:widowControl/>
        <w:numPr>
          <w:ilvl w:val="0"/>
          <w:numId w:val="21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多种认证方式满足不同场景需求：工号绑定认证适合工厂内部员工，确保接入权限专属；微信连 WIFI 认证无需记忆账号密码，操作便捷；短信验证码认证适合临时访客；</w:t>
      </w:r>
    </w:p>
    <w:p w14:paraId="0DE48F0F">
      <w:pPr>
        <w:pStyle w:val="11"/>
        <w:widowControl/>
        <w:numPr>
          <w:ilvl w:val="0"/>
          <w:numId w:val="21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具备严格的权限管控与安全防护，支持黑名单、白名单管理，可限制非法终端接入，同时通过 WPA3 加密、恶意网址过滤等功能，保障网络与用户数据安全；</w:t>
      </w:r>
    </w:p>
    <w:p w14:paraId="4848662B">
      <w:pPr>
        <w:pStyle w:val="11"/>
        <w:widowControl/>
        <w:numPr>
          <w:ilvl w:val="0"/>
          <w:numId w:val="21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认证过程简洁，支持免认证周期设置，减少员工重复认证的麻烦，提升使用体验。</w:t>
      </w:r>
    </w:p>
    <w:p w14:paraId="0BB585E6">
      <w:pPr>
        <w:pStyle w:val="3"/>
        <w:widowControl/>
        <w:numPr>
          <w:ilvl w:val="0"/>
          <w:numId w:val="19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计费模式多样，管理便捷</w:t>
      </w:r>
    </w:p>
    <w:p w14:paraId="68C64DE9">
      <w:pPr>
        <w:pStyle w:val="11"/>
        <w:widowControl/>
        <w:numPr>
          <w:ilvl w:val="0"/>
          <w:numId w:val="22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支持按时长、流量、套餐、免费时段等多种计费模式，工厂可根据实际需求自定义计费规则，适配不同员工的使用习惯与消费能力；</w:t>
      </w:r>
    </w:p>
    <w:p w14:paraId="62EBB876">
      <w:pPr>
        <w:pStyle w:val="11"/>
        <w:widowControl/>
        <w:numPr>
          <w:ilvl w:val="0"/>
          <w:numId w:val="22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计费平台操作简单，支持批量管理，工厂管理员可快速完成开户、续费、销户等操作，大幅提升管理效率；</w:t>
      </w:r>
    </w:p>
    <w:p w14:paraId="72881C72">
      <w:pPr>
        <w:pStyle w:val="11"/>
        <w:widowControl/>
        <w:numPr>
          <w:ilvl w:val="0"/>
          <w:numId w:val="22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在线支付与账单查询功能便捷，员工无需线下缴费，管理员可实时掌握计费数据，实现精细化管理。</w:t>
      </w:r>
    </w:p>
    <w:p w14:paraId="48A9F694">
      <w:pPr>
        <w:pStyle w:val="3"/>
        <w:widowControl/>
        <w:numPr>
          <w:ilvl w:val="0"/>
          <w:numId w:val="19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统一管理运维，成本可控</w:t>
      </w:r>
    </w:p>
    <w:p w14:paraId="16D303D2">
      <w:pPr>
        <w:pStyle w:val="11"/>
        <w:widowControl/>
        <w:numPr>
          <w:ilvl w:val="0"/>
          <w:numId w:val="23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全平台设备集中管理，管理员通过一个后台即可监控所有 AC、AP、交换机、认证网关的运行状态，实时查看接入终端、带宽使用、设备故障等信息，便于快速排查问题；</w:t>
      </w:r>
    </w:p>
    <w:p w14:paraId="6355120E">
      <w:pPr>
        <w:pStyle w:val="11"/>
        <w:widowControl/>
        <w:numPr>
          <w:ilvl w:val="0"/>
          <w:numId w:val="23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支持远程运维与固件升级，减少现场运维工作量，降低运维成本；</w:t>
      </w:r>
    </w:p>
    <w:p w14:paraId="378C06AA">
      <w:pPr>
        <w:pStyle w:val="11"/>
        <w:widowControl/>
        <w:numPr>
          <w:ilvl w:val="0"/>
          <w:numId w:val="23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网络具备弹性扩展能力，可根据工厂规模增长灵活增加设备，无需重构网络，保护前期投资。</w:t>
      </w:r>
    </w:p>
    <w:p w14:paraId="50051D3D">
      <w:pPr>
        <w:pStyle w:val="2"/>
        <w:widowControl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增值服务与保障</w:t>
      </w:r>
    </w:p>
    <w:p w14:paraId="0F3650D5">
      <w:pPr>
        <w:pStyle w:val="3"/>
        <w:widowControl/>
        <w:numPr>
          <w:ilvl w:val="0"/>
          <w:numId w:val="24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项目实施保障</w:t>
      </w:r>
    </w:p>
    <w:p w14:paraId="44871590">
      <w:pPr>
        <w:pStyle w:val="11"/>
        <w:widowControl/>
        <w:numPr>
          <w:ilvl w:val="0"/>
          <w:numId w:val="25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蓝海卓越提供专业的现场勘查服务，根据工厂宿舍区的户型、面积、员工数量等实际情况，制定个性化的 AP 部署方案与网络拓扑设计；</w:t>
      </w:r>
    </w:p>
    <w:p w14:paraId="258AD254">
      <w:pPr>
        <w:pStyle w:val="11"/>
        <w:widowControl/>
        <w:numPr>
          <w:ilvl w:val="0"/>
          <w:numId w:val="25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安排技术团队负责设备安装、调试、配置，确保网络按方案要求正常运行；</w:t>
      </w:r>
    </w:p>
    <w:p w14:paraId="6831B21B">
      <w:pPr>
        <w:pStyle w:val="11"/>
        <w:widowControl/>
        <w:numPr>
          <w:ilvl w:val="0"/>
          <w:numId w:val="25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提供员工使用培训服务，通过线上教程、现场指导等方式，帮助员工快速掌握认证、缴费、查询等操作。</w:t>
      </w:r>
    </w:p>
    <w:p w14:paraId="32A6A339">
      <w:pPr>
        <w:pStyle w:val="3"/>
        <w:widowControl/>
        <w:numPr>
          <w:ilvl w:val="0"/>
          <w:numId w:val="24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售后服务保障</w:t>
      </w:r>
    </w:p>
    <w:p w14:paraId="371D0933">
      <w:pPr>
        <w:pStyle w:val="11"/>
        <w:widowControl/>
        <w:numPr>
          <w:ilvl w:val="0"/>
          <w:numId w:val="26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所有设备提供 1 年质保服务，质保期内免费维修或更换故障设备；</w:t>
      </w:r>
    </w:p>
    <w:p w14:paraId="347A15F3">
      <w:pPr>
        <w:pStyle w:val="11"/>
        <w:widowControl/>
        <w:numPr>
          <w:ilvl w:val="0"/>
          <w:numId w:val="26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提供 7×24 小时技术支持服务，通过电话、在线客服、远程协助等方式，及时响应并解决网络使用过程中出现的问题；</w:t>
      </w:r>
    </w:p>
    <w:p w14:paraId="2CB7BA9B">
      <w:pPr>
        <w:pStyle w:val="11"/>
        <w:widowControl/>
        <w:numPr>
          <w:ilvl w:val="0"/>
          <w:numId w:val="26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定期提供网络巡检服务，检查设备运行状态，优化网络配置，确保网络长期稳定运行。</w:t>
      </w:r>
    </w:p>
    <w:p w14:paraId="676BF6C7">
      <w:pPr>
        <w:pStyle w:val="3"/>
        <w:widowControl/>
        <w:numPr>
          <w:ilvl w:val="0"/>
          <w:numId w:val="24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增值功能扩展</w:t>
      </w:r>
    </w:p>
    <w:p w14:paraId="21C80191">
      <w:pPr>
        <w:pStyle w:val="11"/>
        <w:widowControl/>
        <w:numPr>
          <w:ilvl w:val="0"/>
          <w:numId w:val="27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支持广告推送功能，工厂可在用户认证页面推送企业公告、活动通知等信息，提升内部信息传达效率；</w:t>
      </w:r>
    </w:p>
    <w:p w14:paraId="59054DE7">
      <w:pPr>
        <w:pStyle w:val="11"/>
        <w:widowControl/>
        <w:numPr>
          <w:ilvl w:val="0"/>
          <w:numId w:val="27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支持上网行为管理功能，可限制访问非法网站、P2P 下载等，规范员工上网行为；</w:t>
      </w:r>
    </w:p>
    <w:p w14:paraId="585CED42">
      <w:pPr>
        <w:pStyle w:val="11"/>
        <w:widowControl/>
        <w:numPr>
          <w:ilvl w:val="0"/>
          <w:numId w:val="27"/>
        </w:numPr>
        <w:ind w:left="845" w:leftChars="0" w:hanging="425" w:firstLineChars="0"/>
        <w:rPr>
          <w:color w:val="auto"/>
        </w:rPr>
      </w:pPr>
      <w:r>
        <w:rPr>
          <w:color w:val="auto"/>
        </w:rPr>
        <w:t>支持数据统计分析功能，为工厂提供网络使用报告，包括接入人数、带宽峰值、套餐销售情况等，为工厂运营决策提供数据支持。</w:t>
      </w:r>
    </w:p>
    <w:p w14:paraId="6E500FC4">
      <w:pPr>
        <w:rPr>
          <w:color w:val="auto"/>
        </w:rPr>
      </w:pPr>
      <w:r>
        <w:rPr>
          <w:color w:val="auto"/>
        </w:rPr>
        <w:br w:type="page"/>
      </w:r>
    </w:p>
    <w:p w14:paraId="71A28039">
      <w:pPr>
        <w:pStyle w:val="2"/>
        <w:widowControl/>
        <w:numPr>
          <w:ilvl w:val="0"/>
          <w:numId w:val="1"/>
        </w:numPr>
        <w:topLinePunct w:val="0"/>
        <w:ind w:left="0" w:leftChars="0" w:firstLine="0" w:firstLineChars="0"/>
      </w:pPr>
      <w:bookmarkStart w:id="1" w:name="_Toc10869"/>
      <w:r>
        <w:rPr>
          <w:rFonts w:hint="eastAsia"/>
          <w:lang w:val="en-US" w:eastAsia="zh-CN"/>
        </w:rPr>
        <w:t>案例</w:t>
      </w:r>
      <w:bookmarkEnd w:id="1"/>
    </w:p>
    <w:p w14:paraId="700A3664">
      <w:pPr>
        <w:pStyle w:val="3"/>
        <w:bidi w:val="0"/>
        <w:rPr>
          <w:rFonts w:hint="default" w:ascii="微软雅黑" w:hAnsi="微软雅黑" w:eastAsia="微软雅黑" w:cs="微软雅黑"/>
          <w:b/>
          <w:sz w:val="24"/>
          <w:szCs w:val="21"/>
          <w:lang w:val="en-US" w:eastAsia="zh-CN" w:bidi="ar-SA"/>
        </w:rPr>
      </w:pPr>
      <w:bookmarkStart w:id="2" w:name="_Toc13953"/>
      <w:r>
        <w:rPr>
          <w:rFonts w:hint="eastAsia" w:ascii="微软雅黑" w:hAnsi="微软雅黑" w:eastAsia="微软雅黑" w:cs="微软雅黑"/>
          <w:b/>
          <w:sz w:val="24"/>
          <w:szCs w:val="21"/>
          <w:lang w:val="en-US" w:eastAsia="zh-CN" w:bidi="ar-SA"/>
        </w:rPr>
        <w:t>案例一：成都富士康工厂认证（10万人）</w:t>
      </w:r>
      <w:bookmarkEnd w:id="2"/>
    </w:p>
    <w:p w14:paraId="55CD7373">
      <w:pPr>
        <w:spacing w:line="360" w:lineRule="auto"/>
        <w:jc w:val="center"/>
      </w:pPr>
      <w:r>
        <w:drawing>
          <wp:inline distT="0" distB="0" distL="114300" distR="114300">
            <wp:extent cx="1806575" cy="3216910"/>
            <wp:effectExtent l="0" t="0" r="6985" b="1397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6575" cy="321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75130" cy="3224530"/>
            <wp:effectExtent l="0" t="0" r="127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322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07917">
      <w:pPr>
        <w:pStyle w:val="3"/>
        <w:bidi w:val="0"/>
        <w:rPr>
          <w:rFonts w:hint="eastAsia" w:ascii="微软雅黑" w:hAnsi="微软雅黑" w:eastAsia="微软雅黑" w:cs="微软雅黑"/>
          <w:b/>
          <w:sz w:val="24"/>
          <w:szCs w:val="21"/>
          <w:lang w:val="en-US" w:eastAsia="zh-CN" w:bidi="ar-SA"/>
        </w:rPr>
      </w:pPr>
      <w:bookmarkStart w:id="3" w:name="_Toc1538"/>
      <w:r>
        <w:rPr>
          <w:rFonts w:hint="eastAsia" w:ascii="微软雅黑" w:hAnsi="微软雅黑" w:eastAsia="微软雅黑" w:cs="微软雅黑"/>
          <w:b/>
          <w:sz w:val="24"/>
          <w:szCs w:val="21"/>
          <w:lang w:val="en-US" w:eastAsia="zh-CN" w:bidi="ar-SA"/>
        </w:rPr>
        <w:t>案例二：捷普工厂认证（8万人）</w:t>
      </w:r>
      <w:bookmarkEnd w:id="3"/>
    </w:p>
    <w:p w14:paraId="3852CCE3">
      <w:pPr>
        <w:ind w:firstLine="42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通过无人值守网上营业厅，在非常时期，业务人员无需现场办理，即可完成实名认证，开户上网。</w:t>
      </w:r>
    </w:p>
    <w:p w14:paraId="428F173A">
      <w:pPr>
        <w:rPr>
          <w:rFonts w:hint="default"/>
          <w:lang w:val="en-US" w:eastAsia="zh-CN"/>
        </w:rPr>
      </w:pPr>
    </w:p>
    <w:p w14:paraId="32AB2DF4">
      <w:pPr>
        <w:spacing w:line="360" w:lineRule="auto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262880" cy="2323465"/>
            <wp:effectExtent l="0" t="0" r="10160" b="825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2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430B6">
      <w:pPr>
        <w:pStyle w:val="3"/>
        <w:bidi w:val="0"/>
        <w:rPr>
          <w:rFonts w:hint="default" w:ascii="微软雅黑" w:hAnsi="微软雅黑" w:eastAsia="微软雅黑" w:cs="微软雅黑"/>
          <w:b/>
          <w:sz w:val="24"/>
          <w:szCs w:val="21"/>
          <w:lang w:val="en-US" w:eastAsia="zh-CN" w:bidi="ar-SA"/>
        </w:rPr>
      </w:pPr>
      <w:bookmarkStart w:id="4" w:name="_Toc30279"/>
      <w:r>
        <w:rPr>
          <w:rFonts w:hint="eastAsia" w:ascii="微软雅黑" w:hAnsi="微软雅黑" w:eastAsia="微软雅黑" w:cs="微软雅黑"/>
          <w:b/>
          <w:sz w:val="24"/>
          <w:szCs w:val="21"/>
          <w:lang w:val="en-US" w:eastAsia="zh-CN" w:bidi="ar-SA"/>
        </w:rPr>
        <w:t>案例三：武汉富士康工厂认证（8万人）</w:t>
      </w:r>
      <w:bookmarkEnd w:id="4"/>
    </w:p>
    <w:p w14:paraId="0DC4E983"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用户自助开户、注册、缴费、续费</w:t>
      </w:r>
    </w:p>
    <w:p w14:paraId="68CC4F0E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管理员自定义套餐</w:t>
      </w:r>
    </w:p>
    <w:p w14:paraId="0E9B12B4">
      <w:pPr>
        <w:spacing w:line="360" w:lineRule="auto"/>
        <w:jc w:val="center"/>
      </w:pPr>
      <w:r>
        <w:drawing>
          <wp:inline distT="0" distB="0" distL="114300" distR="114300">
            <wp:extent cx="5270500" cy="2523490"/>
            <wp:effectExtent l="9525" t="9525" r="23495" b="1206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234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BC47EF0">
      <w:pPr>
        <w:pStyle w:val="3"/>
        <w:bidi w:val="0"/>
        <w:rPr>
          <w:rFonts w:hint="eastAsia" w:ascii="微软雅黑" w:hAnsi="微软雅黑" w:eastAsia="微软雅黑" w:cs="微软雅黑"/>
          <w:b/>
          <w:sz w:val="24"/>
          <w:szCs w:val="21"/>
          <w:lang w:val="en-US" w:eastAsia="zh-CN" w:bidi="ar-SA"/>
        </w:rPr>
      </w:pPr>
      <w:r>
        <w:br w:type="page"/>
      </w:r>
      <w:bookmarkStart w:id="5" w:name="_Toc7182"/>
      <w:r>
        <w:rPr>
          <w:rFonts w:hint="eastAsia" w:ascii="微软雅黑" w:hAnsi="微软雅黑" w:eastAsia="微软雅黑" w:cs="微软雅黑"/>
          <w:b/>
          <w:sz w:val="24"/>
          <w:szCs w:val="21"/>
          <w:lang w:val="en-US" w:eastAsia="zh-CN" w:bidi="ar-SA"/>
        </w:rPr>
        <w:t>案例四：比亚迪青年公寓认证（2万人）</w:t>
      </w:r>
      <w:bookmarkEnd w:id="5"/>
    </w:p>
    <w:p w14:paraId="3EEEC293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全光网部署，用户全自助实现开户，缴费上网，无人值守</w:t>
      </w:r>
    </w:p>
    <w:p w14:paraId="72DAACD3">
      <w:pPr>
        <w:rPr>
          <w:rFonts w:hint="default"/>
          <w:lang w:val="en-US" w:eastAsia="zh-CN"/>
        </w:rPr>
      </w:pPr>
    </w:p>
    <w:p w14:paraId="027B303F">
      <w:pPr>
        <w:jc w:val="center"/>
      </w:pPr>
      <w:r>
        <w:drawing>
          <wp:inline distT="0" distB="0" distL="114300" distR="114300">
            <wp:extent cx="1447165" cy="2580640"/>
            <wp:effectExtent l="28575" t="28575" r="33020" b="42545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47165" cy="258064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466215" cy="2578100"/>
            <wp:effectExtent l="28575" t="28575" r="29210" b="29845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66215" cy="25781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61EE8E7">
      <w:pPr>
        <w:pStyle w:val="3"/>
        <w:bidi w:val="0"/>
        <w:rPr>
          <w:rFonts w:hint="eastAsia" w:ascii="微软雅黑" w:hAnsi="微软雅黑" w:eastAsia="微软雅黑" w:cs="微软雅黑"/>
          <w:b/>
          <w:sz w:val="24"/>
          <w:szCs w:val="21"/>
          <w:lang w:val="en-US" w:eastAsia="zh-CN" w:bidi="ar-SA"/>
        </w:rPr>
      </w:pPr>
      <w:bookmarkStart w:id="6" w:name="_Toc20002"/>
      <w:r>
        <w:rPr>
          <w:rFonts w:hint="eastAsia" w:ascii="微软雅黑" w:hAnsi="微软雅黑" w:eastAsia="微软雅黑" w:cs="微软雅黑"/>
          <w:b/>
          <w:sz w:val="24"/>
          <w:szCs w:val="21"/>
          <w:lang w:val="en-US" w:eastAsia="zh-CN" w:bidi="ar-SA"/>
        </w:rPr>
        <w:t>案例五：京东方青年公寓认证（2万人）</w:t>
      </w:r>
      <w:bookmarkEnd w:id="6"/>
    </w:p>
    <w:p w14:paraId="76488D8D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高密度AP覆盖，全系蓝海卓越产品，用户全自助实现开户，缴费上网，无人值守</w:t>
      </w:r>
    </w:p>
    <w:p w14:paraId="2309AFF8">
      <w:pPr>
        <w:rPr>
          <w:rFonts w:hint="default"/>
          <w:lang w:val="en-US" w:eastAsia="zh-CN"/>
        </w:rPr>
      </w:pPr>
    </w:p>
    <w:p w14:paraId="11592B0B">
      <w:pPr>
        <w:jc w:val="center"/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1518285" cy="2566670"/>
            <wp:effectExtent l="28575" t="28575" r="38100" b="41275"/>
            <wp:docPr id="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18285" cy="256667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466215" cy="2578100"/>
            <wp:effectExtent l="28575" t="28575" r="29210" b="29845"/>
            <wp:docPr id="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66215" cy="25781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5600F0A">
      <w:pPr>
        <w:rPr>
          <w:rFonts w:hint="default"/>
          <w:lang w:val="en-US" w:eastAsia="zh-CN"/>
        </w:rPr>
      </w:pPr>
    </w:p>
    <w:p w14:paraId="44A28E4B">
      <w:pPr>
        <w:pStyle w:val="3"/>
        <w:bidi w:val="0"/>
        <w:rPr>
          <w:rFonts w:hint="eastAsia" w:ascii="微软雅黑" w:hAnsi="微软雅黑" w:eastAsia="微软雅黑" w:cs="微软雅黑"/>
          <w:b/>
          <w:sz w:val="24"/>
          <w:szCs w:val="21"/>
          <w:lang w:val="en-US" w:eastAsia="zh-CN" w:bidi="ar-SA"/>
        </w:rPr>
      </w:pPr>
      <w:bookmarkStart w:id="7" w:name="_Toc30750"/>
      <w:bookmarkStart w:id="8" w:name="_GoBack"/>
      <w:r>
        <w:rPr>
          <w:rFonts w:hint="eastAsia" w:ascii="微软雅黑" w:hAnsi="微软雅黑" w:eastAsia="微软雅黑" w:cs="微软雅黑"/>
          <w:b/>
          <w:sz w:val="24"/>
          <w:szCs w:val="21"/>
          <w:lang w:val="en-US" w:eastAsia="zh-CN" w:bidi="ar-SA"/>
        </w:rPr>
        <w:t>案例六：成都轨道寓见双凤桥一店公寓认证（1400户）</w:t>
      </w:r>
      <w:bookmarkEnd w:id="7"/>
    </w:p>
    <w:bookmarkEnd w:id="8"/>
    <w:p w14:paraId="70C28FE9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共1400间房公寓，全光网络到户，用户全自助实现开户，缴费上网，无人值守运营</w:t>
      </w:r>
    </w:p>
    <w:p w14:paraId="7BDF9BD0">
      <w:pPr>
        <w:rPr>
          <w:rFonts w:hint="default"/>
          <w:lang w:val="en-US" w:eastAsia="zh-CN"/>
        </w:rPr>
      </w:pPr>
    </w:p>
    <w:p w14:paraId="0B91A818">
      <w:pPr>
        <w:jc w:val="center"/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1760220" cy="2729230"/>
            <wp:effectExtent l="28575" t="28575" r="40005" b="31115"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272923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397000" cy="2734310"/>
            <wp:effectExtent l="28575" t="28575" r="37465" b="41275"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273431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D361DEA"/>
    <w:p w14:paraId="6682BF44">
      <w:pPr>
        <w:pStyle w:val="11"/>
        <w:widowControl/>
        <w:numPr>
          <w:numId w:val="0"/>
        </w:numPr>
        <w:ind w:left="420" w:leftChars="0"/>
        <w:rPr>
          <w:color w:val="auto"/>
        </w:rPr>
      </w:pPr>
    </w:p>
    <w:p w14:paraId="17CAFACC">
      <w:pPr>
        <w:pStyle w:val="11"/>
        <w:widowControl/>
        <w:pBdr>
          <w:left w:val="single" w:color="BBBFC4" w:sz="18" w:space="0"/>
        </w:pBdr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0DC3E4"/>
    <w:multiLevelType w:val="singleLevel"/>
    <w:tmpl w:val="900DC3E4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1">
    <w:nsid w:val="9B2F0254"/>
    <w:multiLevelType w:val="singleLevel"/>
    <w:tmpl w:val="9B2F0254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2">
    <w:nsid w:val="9F9C50BC"/>
    <w:multiLevelType w:val="singleLevel"/>
    <w:tmpl w:val="9F9C50BC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3">
    <w:nsid w:val="A18B77AE"/>
    <w:multiLevelType w:val="singleLevel"/>
    <w:tmpl w:val="A18B77AE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4">
    <w:nsid w:val="A2947949"/>
    <w:multiLevelType w:val="singleLevel"/>
    <w:tmpl w:val="A2947949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">
    <w:nsid w:val="AF261AE7"/>
    <w:multiLevelType w:val="singleLevel"/>
    <w:tmpl w:val="AF261AE7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6">
    <w:nsid w:val="B3E6256B"/>
    <w:multiLevelType w:val="singleLevel"/>
    <w:tmpl w:val="B3E6256B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7">
    <w:nsid w:val="B555C130"/>
    <w:multiLevelType w:val="singleLevel"/>
    <w:tmpl w:val="B555C130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8">
    <w:nsid w:val="B79B2C55"/>
    <w:multiLevelType w:val="singleLevel"/>
    <w:tmpl w:val="B79B2C55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9">
    <w:nsid w:val="B8479C9D"/>
    <w:multiLevelType w:val="singleLevel"/>
    <w:tmpl w:val="B8479C9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10">
    <w:nsid w:val="BAE9BB4C"/>
    <w:multiLevelType w:val="singleLevel"/>
    <w:tmpl w:val="BAE9BB4C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11">
    <w:nsid w:val="C2D5FF5F"/>
    <w:multiLevelType w:val="singleLevel"/>
    <w:tmpl w:val="C2D5FF5F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12">
    <w:nsid w:val="C6E056E1"/>
    <w:multiLevelType w:val="singleLevel"/>
    <w:tmpl w:val="C6E056E1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13">
    <w:nsid w:val="CE1A5C84"/>
    <w:multiLevelType w:val="singleLevel"/>
    <w:tmpl w:val="CE1A5C84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14">
    <w:nsid w:val="D943B09F"/>
    <w:multiLevelType w:val="singleLevel"/>
    <w:tmpl w:val="D943B09F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15">
    <w:nsid w:val="DED3FB79"/>
    <w:multiLevelType w:val="singleLevel"/>
    <w:tmpl w:val="DED3FB79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16">
    <w:nsid w:val="E5FE2A07"/>
    <w:multiLevelType w:val="singleLevel"/>
    <w:tmpl w:val="E5FE2A07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17">
    <w:nsid w:val="F6CF023F"/>
    <w:multiLevelType w:val="singleLevel"/>
    <w:tmpl w:val="F6CF023F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</w:abstractNum>
  <w:abstractNum w:abstractNumId="18">
    <w:nsid w:val="0C69011A"/>
    <w:multiLevelType w:val="singleLevel"/>
    <w:tmpl w:val="0C69011A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19">
    <w:nsid w:val="1039905D"/>
    <w:multiLevelType w:val="singleLevel"/>
    <w:tmpl w:val="1039905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20">
    <w:nsid w:val="1C434C52"/>
    <w:multiLevelType w:val="singleLevel"/>
    <w:tmpl w:val="1C434C52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21">
    <w:nsid w:val="3F032237"/>
    <w:multiLevelType w:val="singleLevel"/>
    <w:tmpl w:val="3F032237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22">
    <w:nsid w:val="42252A3A"/>
    <w:multiLevelType w:val="singleLevel"/>
    <w:tmpl w:val="42252A3A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23">
    <w:nsid w:val="4D0C203E"/>
    <w:multiLevelType w:val="singleLevel"/>
    <w:tmpl w:val="4D0C203E"/>
    <w:lvl w:ilvl="0" w:tentative="0">
      <w:start w:val="1"/>
      <w:numFmt w:val="bullet"/>
      <w:lvlText w:val="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</w:abstractNum>
  <w:abstractNum w:abstractNumId="24">
    <w:nsid w:val="4F447E7E"/>
    <w:multiLevelType w:val="singleLevel"/>
    <w:tmpl w:val="4F447E7E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25">
    <w:nsid w:val="50BADEC9"/>
    <w:multiLevelType w:val="singleLevel"/>
    <w:tmpl w:val="50BADEC9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26">
    <w:nsid w:val="73C5C72E"/>
    <w:multiLevelType w:val="singleLevel"/>
    <w:tmpl w:val="73C5C72E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18"/>
  </w:num>
  <w:num w:numId="5">
    <w:abstractNumId w:val="3"/>
  </w:num>
  <w:num w:numId="6">
    <w:abstractNumId w:val="19"/>
  </w:num>
  <w:num w:numId="7">
    <w:abstractNumId w:val="20"/>
  </w:num>
  <w:num w:numId="8">
    <w:abstractNumId w:val="10"/>
  </w:num>
  <w:num w:numId="9">
    <w:abstractNumId w:val="15"/>
  </w:num>
  <w:num w:numId="10">
    <w:abstractNumId w:val="4"/>
  </w:num>
  <w:num w:numId="11">
    <w:abstractNumId w:val="12"/>
  </w:num>
  <w:num w:numId="12">
    <w:abstractNumId w:val="25"/>
  </w:num>
  <w:num w:numId="13">
    <w:abstractNumId w:val="24"/>
  </w:num>
  <w:num w:numId="14">
    <w:abstractNumId w:val="23"/>
  </w:num>
  <w:num w:numId="15">
    <w:abstractNumId w:val="22"/>
  </w:num>
  <w:num w:numId="16">
    <w:abstractNumId w:val="17"/>
  </w:num>
  <w:num w:numId="17">
    <w:abstractNumId w:val="13"/>
  </w:num>
  <w:num w:numId="18">
    <w:abstractNumId w:val="26"/>
  </w:num>
  <w:num w:numId="19">
    <w:abstractNumId w:val="11"/>
  </w:num>
  <w:num w:numId="20">
    <w:abstractNumId w:val="21"/>
  </w:num>
  <w:num w:numId="21">
    <w:abstractNumId w:val="14"/>
  </w:num>
  <w:num w:numId="22">
    <w:abstractNumId w:val="9"/>
  </w:num>
  <w:num w:numId="23">
    <w:abstractNumId w:val="16"/>
  </w:num>
  <w:num w:numId="24">
    <w:abstractNumId w:val="5"/>
  </w:num>
  <w:num w:numId="25">
    <w:abstractNumId w:val="6"/>
  </w:num>
  <w:num w:numId="26">
    <w:abstractNumId w:val="0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07D61D9E"/>
    <w:rsid w:val="0BDF1D94"/>
    <w:rsid w:val="15EA64E1"/>
    <w:rsid w:val="2DB70319"/>
    <w:rsid w:val="386F48F8"/>
    <w:rsid w:val="5F630463"/>
    <w:rsid w:val="60B457A6"/>
    <w:rsid w:val="70B84B05"/>
    <w:rsid w:val="72D059B7"/>
    <w:rsid w:val="7C4F6D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basedOn w:val="1"/>
    <w:next w:val="1"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6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2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3">
    <w:name w:val="footnote text"/>
    <w:link w:val="20"/>
    <w:semiHidden/>
    <w:unhideWhenUsed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14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character" w:styleId="17">
    <w:name w:val="Hyperlink"/>
    <w:unhideWhenUsed/>
    <w:uiPriority w:val="99"/>
    <w:rPr>
      <w:color w:val="0563C1"/>
      <w:u w:val="single"/>
    </w:rPr>
  </w:style>
  <w:style w:type="character" w:styleId="18">
    <w:name w:val="footnote reference"/>
    <w:semiHidden/>
    <w:unhideWhenUsed/>
    <w:qFormat/>
    <w:uiPriority w:val="99"/>
    <w:rPr>
      <w:vertAlign w:val="superscript"/>
    </w:rPr>
  </w:style>
  <w:style w:type="paragraph" w:styleId="19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20">
    <w:name w:val="Footnote Text Char"/>
    <w:link w:val="13"/>
    <w:semiHidden/>
    <w:unhideWhenUsed/>
    <w:qFormat/>
    <w:uiPriority w:val="99"/>
    <w:rPr>
      <w:sz w:val="20"/>
      <w:szCs w:val="20"/>
    </w:rPr>
  </w:style>
  <w:style w:type="paragraph" w:customStyle="1" w:styleId="21">
    <w:name w:val="_Style 13"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22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4103</Words>
  <Characters>4255</Characters>
  <TotalTime>0</TotalTime>
  <ScaleCrop>false</ScaleCrop>
  <LinksUpToDate>false</LinksUpToDate>
  <CharactersWithSpaces>4390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2025-12-12T08:29:00Z</dcterms:created>
  <dc:creator>Un-named</dc:creator>
  <cp:lastModifiedBy>itsw163com</cp:lastModifiedBy>
  <dcterms:modified xsi:type="dcterms:W3CDTF">2025-12-12T08:48:09Z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eyJoZGlkIjoiODViOTRhZjdkMWRlYWEyODJiNTJmN2QwY2EyOWE4ZGYiLCJ1c2VySWQiOiI3NTM4NDYxIn0=</vt:lpwstr>
  </property>
  <property fmtid="{D5CDD505-2E9C-101B-9397-08002B2CF9AE}" pid="3" name="KSOProductBuildVer">
    <vt:lpwstr>2052-12.1.0.24034</vt:lpwstr>
  </property>
  <property fmtid="{D5CDD505-2E9C-101B-9397-08002B2CF9AE}" pid="4" name="ICV">
    <vt:lpwstr>19E412BE8A1541A5A5D26A14E4F3C296_12</vt:lpwstr>
  </property>
</Properties>
</file>